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665D" w14:textId="3477D6E9" w:rsidR="00D41032" w:rsidRDefault="00D41032" w:rsidP="00D41032">
      <w:pPr>
        <w:spacing w:before="4" w:line="280" w:lineRule="exact"/>
        <w:jc w:val="center"/>
        <w:rPr>
          <w:rFonts w:ascii="Arial" w:hAnsi="Arial" w:cs="Arial"/>
          <w:bCs/>
          <w:noProof/>
          <w:sz w:val="20"/>
          <w:szCs w:val="20"/>
        </w:rPr>
      </w:pPr>
      <w:r>
        <w:rPr>
          <w:rFonts w:ascii="Arial" w:hAnsi="Arial" w:cs="Arial"/>
          <w:bCs/>
          <w:noProof/>
          <w:sz w:val="20"/>
          <w:szCs w:val="20"/>
        </w:rPr>
        <w:t>SERVICE LEVEL AGREEMENT</w:t>
      </w:r>
    </w:p>
    <w:p w14:paraId="747C8434" w14:textId="29288BB5" w:rsidR="00D41032" w:rsidRDefault="00D41032" w:rsidP="00D41032">
      <w:pPr>
        <w:spacing w:before="4" w:line="280" w:lineRule="exact"/>
        <w:jc w:val="center"/>
        <w:rPr>
          <w:rFonts w:ascii="Arial" w:hAnsi="Arial" w:cs="Arial"/>
          <w:bCs/>
          <w:noProof/>
          <w:sz w:val="20"/>
          <w:szCs w:val="20"/>
        </w:rPr>
      </w:pPr>
      <w:r>
        <w:rPr>
          <w:rFonts w:ascii="Arial" w:hAnsi="Arial" w:cs="Arial"/>
          <w:bCs/>
          <w:noProof/>
          <w:sz w:val="20"/>
          <w:szCs w:val="20"/>
        </w:rPr>
        <w:t>ENGAGE</w:t>
      </w:r>
    </w:p>
    <w:p w14:paraId="40816207" w14:textId="77777777" w:rsidR="00D41032" w:rsidRDefault="00D41032" w:rsidP="00D41032">
      <w:pPr>
        <w:spacing w:before="4" w:line="280" w:lineRule="exact"/>
        <w:rPr>
          <w:rFonts w:ascii="Arial" w:hAnsi="Arial" w:cs="Arial"/>
          <w:bCs/>
          <w:noProof/>
          <w:sz w:val="20"/>
          <w:szCs w:val="20"/>
        </w:rPr>
      </w:pPr>
    </w:p>
    <w:p w14:paraId="494FF4DC" w14:textId="77777777" w:rsidR="00D41032" w:rsidRDefault="00D41032" w:rsidP="00D41032">
      <w:pPr>
        <w:spacing w:before="4" w:line="280" w:lineRule="exact"/>
        <w:rPr>
          <w:rFonts w:ascii="Arial" w:hAnsi="Arial" w:cs="Arial"/>
          <w:bCs/>
          <w:noProof/>
          <w:sz w:val="20"/>
          <w:szCs w:val="20"/>
        </w:rPr>
      </w:pPr>
    </w:p>
    <w:p w14:paraId="236AED8D" w14:textId="35B8776F" w:rsidR="00D41032" w:rsidRPr="006D2E4D" w:rsidRDefault="00D41032" w:rsidP="00D41032">
      <w:pPr>
        <w:spacing w:before="4" w:line="280" w:lineRule="exact"/>
        <w:rPr>
          <w:rFonts w:ascii="Arial" w:hAnsi="Arial" w:cs="Arial"/>
          <w:bCs/>
          <w:noProof/>
          <w:sz w:val="20"/>
          <w:szCs w:val="20"/>
        </w:rPr>
      </w:pPr>
      <w:r w:rsidRPr="006D2E4D">
        <w:rPr>
          <w:rFonts w:ascii="Arial" w:hAnsi="Arial" w:cs="Arial"/>
          <w:bCs/>
          <w:noProof/>
          <w:sz w:val="20"/>
          <w:szCs w:val="20"/>
        </w:rPr>
        <w:t xml:space="preserve">This Service Level Agreement (this </w:t>
      </w:r>
      <w:r w:rsidRPr="006D2E4D">
        <w:rPr>
          <w:rFonts w:ascii="Arial" w:hAnsi="Arial" w:cs="Arial"/>
          <w:b/>
          <w:bCs/>
          <w:noProof/>
          <w:sz w:val="20"/>
          <w:szCs w:val="20"/>
        </w:rPr>
        <w:t>“SLA”</w:t>
      </w:r>
      <w:r w:rsidRPr="006D2E4D">
        <w:rPr>
          <w:rFonts w:ascii="Arial" w:hAnsi="Arial" w:cs="Arial"/>
          <w:bCs/>
          <w:noProof/>
          <w:sz w:val="20"/>
          <w:szCs w:val="20"/>
        </w:rPr>
        <w:t xml:space="preserve">) </w:t>
      </w:r>
      <w:r w:rsidRPr="00040F6C">
        <w:rPr>
          <w:rFonts w:ascii="Arial" w:hAnsi="Arial" w:cs="Arial"/>
          <w:iCs/>
          <w:sz w:val="20"/>
          <w:szCs w:val="20"/>
        </w:rPr>
        <w:t xml:space="preserve">between </w:t>
      </w:r>
      <w:r w:rsidR="00B51D4C">
        <w:rPr>
          <w:rFonts w:ascii="Arial" w:hAnsi="Arial" w:cs="Arial"/>
          <w:iCs/>
          <w:sz w:val="20"/>
          <w:szCs w:val="20"/>
        </w:rPr>
        <w:t>[COP]</w:t>
      </w:r>
      <w:r w:rsidR="00F0665F">
        <w:rPr>
          <w:rFonts w:ascii="Arial" w:hAnsi="Arial" w:cs="Arial"/>
          <w:iCs/>
          <w:sz w:val="20"/>
          <w:szCs w:val="20"/>
        </w:rPr>
        <w:t xml:space="preserve"> </w:t>
      </w:r>
      <w:r w:rsidRPr="00B41449">
        <w:rPr>
          <w:rFonts w:ascii="Arial" w:hAnsi="Arial" w:cs="Arial"/>
          <w:sz w:val="20"/>
          <w:szCs w:val="20"/>
        </w:rPr>
        <w:t>(“</w:t>
      </w:r>
      <w:r w:rsidR="005576A3">
        <w:rPr>
          <w:rFonts w:ascii="Arial" w:hAnsi="Arial" w:cs="Arial"/>
          <w:b/>
          <w:sz w:val="20"/>
          <w:szCs w:val="20"/>
        </w:rPr>
        <w:t>Company</w:t>
      </w:r>
      <w:r w:rsidRPr="00B41449">
        <w:rPr>
          <w:rFonts w:ascii="Arial" w:hAnsi="Arial" w:cs="Arial"/>
          <w:sz w:val="20"/>
          <w:szCs w:val="20"/>
        </w:rPr>
        <w:t xml:space="preserve">”) </w:t>
      </w:r>
      <w:r w:rsidRPr="00040F6C">
        <w:rPr>
          <w:rFonts w:ascii="Arial" w:hAnsi="Arial" w:cs="Arial"/>
          <w:iCs/>
          <w:sz w:val="20"/>
          <w:szCs w:val="20"/>
        </w:rPr>
        <w:t xml:space="preserve">and </w:t>
      </w:r>
      <w:r>
        <w:rPr>
          <w:rFonts w:ascii="Arial" w:hAnsi="Arial" w:cs="Arial"/>
          <w:iCs/>
          <w:sz w:val="20"/>
          <w:szCs w:val="20"/>
        </w:rPr>
        <w:t>the entity purchasing any of the Services (as defined below) (“</w:t>
      </w:r>
      <w:r w:rsidRPr="007741FF">
        <w:rPr>
          <w:rFonts w:ascii="Arial" w:hAnsi="Arial" w:cs="Arial"/>
          <w:b/>
          <w:iCs/>
          <w:sz w:val="20"/>
          <w:szCs w:val="20"/>
        </w:rPr>
        <w:t>You</w:t>
      </w:r>
      <w:r>
        <w:rPr>
          <w:rFonts w:ascii="Arial" w:hAnsi="Arial" w:cs="Arial"/>
          <w:iCs/>
          <w:sz w:val="20"/>
          <w:szCs w:val="20"/>
        </w:rPr>
        <w:t xml:space="preserve">”) </w:t>
      </w:r>
      <w:r w:rsidRPr="006D2E4D">
        <w:rPr>
          <w:rFonts w:ascii="Arial" w:hAnsi="Arial" w:cs="Arial"/>
          <w:bCs/>
          <w:noProof/>
          <w:sz w:val="20"/>
          <w:szCs w:val="20"/>
        </w:rPr>
        <w:t xml:space="preserve">governs the use of the </w:t>
      </w:r>
      <w:r w:rsidR="009A5C3E">
        <w:rPr>
          <w:rFonts w:ascii="Arial" w:hAnsi="Arial" w:cs="Arial"/>
          <w:bCs/>
          <w:noProof/>
          <w:sz w:val="20"/>
          <w:szCs w:val="20"/>
        </w:rPr>
        <w:t xml:space="preserve">ENGAGE </w:t>
      </w:r>
      <w:r>
        <w:rPr>
          <w:rFonts w:ascii="Arial" w:hAnsi="Arial" w:cs="Arial"/>
          <w:bCs/>
          <w:noProof/>
          <w:sz w:val="20"/>
          <w:szCs w:val="20"/>
        </w:rPr>
        <w:t xml:space="preserve">Contact Center </w:t>
      </w:r>
      <w:r w:rsidRPr="006D2E4D">
        <w:rPr>
          <w:rFonts w:ascii="Arial" w:hAnsi="Arial" w:cs="Arial"/>
          <w:bCs/>
          <w:noProof/>
          <w:sz w:val="20"/>
          <w:szCs w:val="20"/>
        </w:rPr>
        <w:t xml:space="preserve">Services </w:t>
      </w:r>
      <w:r w:rsidR="00D46B6C">
        <w:rPr>
          <w:rFonts w:ascii="Arial" w:hAnsi="Arial" w:cs="Arial"/>
          <w:bCs/>
          <w:noProof/>
          <w:sz w:val="20"/>
          <w:szCs w:val="20"/>
        </w:rPr>
        <w:t xml:space="preserve">(“Contact Center”) </w:t>
      </w:r>
      <w:r w:rsidRPr="006D2E4D">
        <w:rPr>
          <w:rFonts w:ascii="Arial" w:hAnsi="Arial" w:cs="Arial"/>
          <w:bCs/>
          <w:noProof/>
          <w:sz w:val="20"/>
          <w:szCs w:val="20"/>
        </w:rPr>
        <w:t xml:space="preserve">under the terms of the Master Service Agreement (the </w:t>
      </w:r>
      <w:r w:rsidRPr="006D2E4D">
        <w:rPr>
          <w:rFonts w:ascii="Arial" w:hAnsi="Arial" w:cs="Arial"/>
          <w:b/>
          <w:bCs/>
          <w:noProof/>
          <w:sz w:val="20"/>
          <w:szCs w:val="20"/>
        </w:rPr>
        <w:t>“MSA”</w:t>
      </w:r>
      <w:r w:rsidRPr="006D2E4D">
        <w:rPr>
          <w:rFonts w:ascii="Arial" w:hAnsi="Arial" w:cs="Arial"/>
          <w:bCs/>
          <w:noProof/>
          <w:sz w:val="20"/>
          <w:szCs w:val="20"/>
        </w:rPr>
        <w:t xml:space="preserve">) and the relevant product Schedules between </w:t>
      </w:r>
      <w:r w:rsidR="00044515">
        <w:rPr>
          <w:rFonts w:ascii="Arial" w:hAnsi="Arial" w:cs="Arial"/>
          <w:bCs/>
          <w:noProof/>
          <w:sz w:val="20"/>
          <w:szCs w:val="20"/>
        </w:rPr>
        <w:t>Company</w:t>
      </w:r>
      <w:r w:rsidR="006D7297">
        <w:rPr>
          <w:rFonts w:ascii="Arial" w:hAnsi="Arial" w:cs="Arial"/>
          <w:bCs/>
          <w:noProof/>
          <w:sz w:val="20"/>
          <w:szCs w:val="20"/>
        </w:rPr>
        <w:t xml:space="preserve"> </w:t>
      </w:r>
      <w:r w:rsidRPr="006D2E4D">
        <w:rPr>
          <w:rFonts w:ascii="Arial" w:hAnsi="Arial" w:cs="Arial"/>
          <w:bCs/>
          <w:noProof/>
          <w:sz w:val="20"/>
          <w:szCs w:val="20"/>
        </w:rPr>
        <w:t xml:space="preserve"> and </w:t>
      </w:r>
      <w:r>
        <w:rPr>
          <w:rFonts w:ascii="Arial" w:hAnsi="Arial" w:cs="Arial"/>
          <w:bCs/>
          <w:noProof/>
          <w:sz w:val="20"/>
          <w:szCs w:val="20"/>
        </w:rPr>
        <w:t>You</w:t>
      </w:r>
      <w:r w:rsidRPr="006D2E4D">
        <w:rPr>
          <w:rFonts w:ascii="Arial" w:hAnsi="Arial" w:cs="Arial"/>
          <w:bCs/>
          <w:noProof/>
          <w:sz w:val="20"/>
          <w:szCs w:val="20"/>
        </w:rPr>
        <w:t xml:space="preserve"> and is incorporated into the MSA by reference. This SLA applies separately to each of Your Accounts and only if You recieve the relevant </w:t>
      </w:r>
      <w:r>
        <w:rPr>
          <w:rFonts w:ascii="Arial" w:hAnsi="Arial" w:cs="Arial"/>
          <w:bCs/>
          <w:noProof/>
          <w:sz w:val="20"/>
          <w:szCs w:val="20"/>
        </w:rPr>
        <w:t xml:space="preserve">Contact Center </w:t>
      </w:r>
      <w:r w:rsidRPr="006D2E4D">
        <w:rPr>
          <w:rFonts w:ascii="Arial" w:hAnsi="Arial" w:cs="Arial"/>
          <w:bCs/>
          <w:noProof/>
          <w:sz w:val="20"/>
          <w:szCs w:val="20"/>
        </w:rPr>
        <w:t xml:space="preserve">Services pursuant to an applicable product Schedule. </w:t>
      </w:r>
      <w:r w:rsidR="00BA2CE5">
        <w:rPr>
          <w:rFonts w:ascii="Arial" w:hAnsi="Arial" w:cs="Arial"/>
          <w:bCs/>
          <w:noProof/>
          <w:sz w:val="20"/>
          <w:szCs w:val="20"/>
        </w:rPr>
        <w:t>C</w:t>
      </w:r>
      <w:r w:rsidR="006D7297">
        <w:rPr>
          <w:rFonts w:ascii="Arial" w:hAnsi="Arial" w:cs="Arial"/>
          <w:bCs/>
          <w:noProof/>
          <w:sz w:val="20"/>
          <w:szCs w:val="20"/>
        </w:rPr>
        <w:t>ompany</w:t>
      </w:r>
      <w:r w:rsidRPr="006D2E4D">
        <w:rPr>
          <w:rFonts w:ascii="Arial" w:hAnsi="Arial" w:cs="Arial"/>
          <w:bCs/>
          <w:noProof/>
          <w:sz w:val="20"/>
          <w:szCs w:val="20"/>
        </w:rPr>
        <w:t xml:space="preserve"> may update, amend, modify or supplement this SLA from time to time. Capitalized terms used herein but not otherwise defined will have their respective meanings set forth in the MSA. In the event of any conflict between this SLA and the MSA, the MSA will govern.</w:t>
      </w:r>
    </w:p>
    <w:p w14:paraId="582800F5" w14:textId="77777777" w:rsidR="00D41032" w:rsidRPr="006D2E4D" w:rsidRDefault="00D41032" w:rsidP="00D41032">
      <w:pPr>
        <w:spacing w:before="4" w:line="280" w:lineRule="exact"/>
        <w:rPr>
          <w:rFonts w:ascii="Arial" w:hAnsi="Arial" w:cs="Arial"/>
          <w:sz w:val="20"/>
          <w:szCs w:val="20"/>
        </w:rPr>
      </w:pPr>
    </w:p>
    <w:p w14:paraId="11B98A1A" w14:textId="77777777" w:rsidR="00D41032" w:rsidRPr="006D2E4D" w:rsidRDefault="00D41032" w:rsidP="00D41032">
      <w:pPr>
        <w:rPr>
          <w:rFonts w:ascii="Arial" w:hAnsi="Arial" w:cs="Arial"/>
          <w:b/>
          <w:smallCaps/>
          <w:sz w:val="20"/>
          <w:szCs w:val="20"/>
        </w:rPr>
      </w:pPr>
      <w:r w:rsidRPr="006D2E4D">
        <w:rPr>
          <w:rFonts w:ascii="Arial" w:eastAsia="Arial" w:hAnsi="Arial" w:cs="Arial"/>
          <w:b/>
          <w:smallCaps/>
          <w:sz w:val="20"/>
          <w:szCs w:val="20"/>
        </w:rPr>
        <w:t xml:space="preserve">1. </w:t>
      </w:r>
      <w:r w:rsidRPr="006D2E4D">
        <w:rPr>
          <w:rFonts w:ascii="Arial" w:eastAsia="Arial" w:hAnsi="Arial" w:cs="Arial"/>
          <w:b/>
          <w:smallCaps/>
          <w:sz w:val="20"/>
          <w:szCs w:val="20"/>
        </w:rPr>
        <w:tab/>
        <w:t>Definitions</w:t>
      </w:r>
    </w:p>
    <w:p w14:paraId="15F3CBC8" w14:textId="77777777" w:rsidR="00D41032" w:rsidRPr="006D2E4D" w:rsidRDefault="00D41032" w:rsidP="00D41032">
      <w:pPr>
        <w:rPr>
          <w:rFonts w:ascii="Arial" w:hAnsi="Arial" w:cs="Arial"/>
          <w:sz w:val="20"/>
          <w:szCs w:val="20"/>
        </w:rPr>
      </w:pPr>
      <w:r w:rsidRPr="006D2E4D">
        <w:rPr>
          <w:rFonts w:ascii="Arial" w:hAnsi="Arial" w:cs="Arial"/>
          <w:sz w:val="20"/>
          <w:szCs w:val="20"/>
        </w:rPr>
        <w:t xml:space="preserve"> </w:t>
      </w:r>
    </w:p>
    <w:p w14:paraId="44DD844F" w14:textId="77777777" w:rsidR="00D41032" w:rsidRDefault="00D41032" w:rsidP="00D41032">
      <w:pPr>
        <w:ind w:left="720"/>
        <w:rPr>
          <w:rFonts w:ascii="Arial" w:eastAsia="Arial" w:hAnsi="Arial" w:cs="Arial"/>
          <w:bCs/>
          <w:sz w:val="20"/>
          <w:szCs w:val="20"/>
        </w:rPr>
      </w:pPr>
      <w:r>
        <w:rPr>
          <w:rFonts w:ascii="Arial" w:eastAsia="Arial" w:hAnsi="Arial" w:cs="Arial"/>
          <w:b/>
          <w:sz w:val="20"/>
          <w:szCs w:val="20"/>
        </w:rPr>
        <w:t>“Automatic Call Distribution” (“ACD”)</w:t>
      </w:r>
      <w:r>
        <w:rPr>
          <w:rFonts w:ascii="Arial" w:eastAsia="Arial" w:hAnsi="Arial" w:cs="Arial"/>
          <w:bCs/>
          <w:sz w:val="20"/>
          <w:szCs w:val="20"/>
        </w:rPr>
        <w:t xml:space="preserve"> means routing</w:t>
      </w:r>
      <w:r w:rsidRPr="00A613FD">
        <w:rPr>
          <w:rFonts w:ascii="Times New Roman" w:eastAsia="Arial" w:hAnsi="Times New Roman" w:cs="Times New Roman"/>
          <w:bCs/>
        </w:rPr>
        <w:t xml:space="preserve"> </w:t>
      </w:r>
      <w:r w:rsidRPr="008C0DB8">
        <w:rPr>
          <w:rFonts w:ascii="Arial" w:hAnsi="Arial" w:cs="Arial"/>
          <w:sz w:val="20"/>
          <w:szCs w:val="20"/>
        </w:rPr>
        <w:t>new call attempts</w:t>
      </w:r>
      <w:r w:rsidRPr="00A613FD">
        <w:rPr>
          <w:rFonts w:ascii="Times New Roman" w:eastAsia="Arial" w:hAnsi="Times New Roman" w:cs="Times New Roman"/>
          <w:bCs/>
        </w:rPr>
        <w:t xml:space="preserve"> </w:t>
      </w:r>
      <w:r>
        <w:rPr>
          <w:rFonts w:ascii="Arial" w:eastAsia="Arial" w:hAnsi="Arial" w:cs="Arial"/>
          <w:bCs/>
          <w:sz w:val="20"/>
          <w:szCs w:val="20"/>
        </w:rPr>
        <w:t xml:space="preserve">from the Contact Center platform to the correct destination. </w:t>
      </w:r>
    </w:p>
    <w:p w14:paraId="01299D93" w14:textId="77777777" w:rsidR="00D41032" w:rsidRDefault="00D41032" w:rsidP="00D41032">
      <w:pPr>
        <w:ind w:left="720"/>
        <w:rPr>
          <w:rFonts w:ascii="Arial" w:eastAsia="Arial" w:hAnsi="Arial" w:cs="Arial"/>
          <w:bCs/>
          <w:sz w:val="20"/>
          <w:szCs w:val="20"/>
        </w:rPr>
      </w:pPr>
    </w:p>
    <w:p w14:paraId="348EBFD5" w14:textId="7C041660" w:rsidR="00D41032" w:rsidRPr="006D2E4D" w:rsidRDefault="00D41032" w:rsidP="00D41032">
      <w:pPr>
        <w:ind w:left="720"/>
        <w:rPr>
          <w:rFonts w:ascii="Arial" w:hAnsi="Arial" w:cs="Arial"/>
          <w:b/>
          <w:smallCaps/>
          <w:sz w:val="20"/>
          <w:szCs w:val="20"/>
        </w:rPr>
      </w:pPr>
      <w:r w:rsidRPr="006D2E4D">
        <w:rPr>
          <w:rFonts w:ascii="Arial" w:eastAsia="Arial" w:hAnsi="Arial" w:cs="Arial"/>
          <w:b/>
          <w:sz w:val="20"/>
          <w:szCs w:val="20"/>
        </w:rPr>
        <w:t>"</w:t>
      </w:r>
      <w:r>
        <w:rPr>
          <w:rFonts w:ascii="Arial" w:eastAsia="Arial" w:hAnsi="Arial" w:cs="Arial"/>
          <w:b/>
          <w:sz w:val="20"/>
          <w:szCs w:val="20"/>
        </w:rPr>
        <w:t>Contact Center Services</w:t>
      </w:r>
      <w:r w:rsidRPr="006D2E4D">
        <w:rPr>
          <w:rFonts w:ascii="Arial" w:eastAsia="Arial" w:hAnsi="Arial" w:cs="Arial"/>
          <w:b/>
          <w:sz w:val="20"/>
          <w:szCs w:val="20"/>
        </w:rPr>
        <w:t>"</w:t>
      </w:r>
      <w:r w:rsidRPr="006D2E4D">
        <w:rPr>
          <w:rFonts w:ascii="Arial" w:eastAsia="Arial" w:hAnsi="Arial" w:cs="Arial"/>
          <w:sz w:val="20"/>
          <w:szCs w:val="20"/>
        </w:rPr>
        <w:t xml:space="preserve"> means </w:t>
      </w:r>
      <w:r>
        <w:rPr>
          <w:rFonts w:ascii="Arial" w:eastAsia="Arial" w:hAnsi="Arial" w:cs="Arial"/>
          <w:sz w:val="20"/>
          <w:szCs w:val="20"/>
        </w:rPr>
        <w:t xml:space="preserve">the following </w:t>
      </w:r>
      <w:r>
        <w:rPr>
          <w:rFonts w:ascii="Arial" w:hAnsi="Arial" w:cs="Arial"/>
          <w:sz w:val="20"/>
          <w:szCs w:val="20"/>
        </w:rPr>
        <w:t xml:space="preserve">core </w:t>
      </w:r>
      <w:r w:rsidR="008C24FF">
        <w:rPr>
          <w:rFonts w:ascii="Arial" w:hAnsi="Arial" w:cs="Arial"/>
          <w:sz w:val="20"/>
          <w:szCs w:val="20"/>
        </w:rPr>
        <w:t>C</w:t>
      </w:r>
      <w:r w:rsidR="006D7297">
        <w:rPr>
          <w:rFonts w:ascii="Arial" w:hAnsi="Arial" w:cs="Arial"/>
          <w:sz w:val="20"/>
          <w:szCs w:val="20"/>
        </w:rPr>
        <w:t>ompany</w:t>
      </w:r>
      <w:r w:rsidR="003F078E">
        <w:rPr>
          <w:rFonts w:ascii="Arial" w:hAnsi="Arial" w:cs="Arial"/>
          <w:sz w:val="20"/>
          <w:szCs w:val="20"/>
        </w:rPr>
        <w:t xml:space="preserve"> </w:t>
      </w:r>
      <w:r w:rsidRPr="005C55F2">
        <w:rPr>
          <w:rFonts w:ascii="Arial" w:hAnsi="Arial" w:cs="Arial"/>
          <w:sz w:val="20"/>
          <w:szCs w:val="20"/>
        </w:rPr>
        <w:t xml:space="preserve">Contact Center </w:t>
      </w:r>
      <w:r w:rsidRPr="005C55F2">
        <w:rPr>
          <w:rFonts w:ascii="Arial" w:eastAsia="Arial" w:hAnsi="Arial" w:cs="Arial"/>
          <w:sz w:val="20"/>
          <w:szCs w:val="20"/>
        </w:rPr>
        <w:t>service</w:t>
      </w:r>
      <w:r>
        <w:rPr>
          <w:rFonts w:ascii="Arial" w:eastAsia="Arial" w:hAnsi="Arial" w:cs="Arial"/>
          <w:sz w:val="20"/>
          <w:szCs w:val="20"/>
        </w:rPr>
        <w:t xml:space="preserve">s: </w:t>
      </w:r>
      <w:r>
        <w:rPr>
          <w:rFonts w:ascii="Arial" w:hAnsi="Arial" w:cs="Arial"/>
          <w:sz w:val="20"/>
          <w:szCs w:val="20"/>
        </w:rPr>
        <w:t>ACD (e.g., call routing and voice queuing)</w:t>
      </w:r>
      <w:r w:rsidRPr="005C55F2">
        <w:rPr>
          <w:rFonts w:ascii="Arial" w:eastAsia="Arial" w:hAnsi="Arial" w:cs="Arial"/>
          <w:sz w:val="20"/>
          <w:szCs w:val="20"/>
        </w:rPr>
        <w:t xml:space="preserve">, </w:t>
      </w:r>
      <w:r w:rsidRPr="005C55F2">
        <w:rPr>
          <w:rFonts w:ascii="Arial" w:hAnsi="Arial" w:cs="Arial"/>
          <w:sz w:val="20"/>
          <w:szCs w:val="20"/>
        </w:rPr>
        <w:t>Interactive Voice Response (“IVR”), Contact Center Agent Application (“CCA”)</w:t>
      </w:r>
      <w:r>
        <w:rPr>
          <w:rFonts w:ascii="Arial" w:hAnsi="Arial" w:cs="Arial"/>
          <w:sz w:val="20"/>
          <w:szCs w:val="20"/>
        </w:rPr>
        <w:t xml:space="preserve"> and</w:t>
      </w:r>
      <w:r w:rsidRPr="005C55F2">
        <w:rPr>
          <w:rFonts w:ascii="Arial" w:hAnsi="Arial" w:cs="Arial"/>
          <w:sz w:val="20"/>
          <w:szCs w:val="20"/>
        </w:rPr>
        <w:t xml:space="preserve"> </w:t>
      </w:r>
      <w:r w:rsidRPr="005C55F2">
        <w:rPr>
          <w:rFonts w:ascii="Arial" w:eastAsia="Arial" w:hAnsi="Arial" w:cs="Arial"/>
          <w:sz w:val="20"/>
          <w:szCs w:val="20"/>
        </w:rPr>
        <w:t xml:space="preserve">SIP </w:t>
      </w:r>
      <w:proofErr w:type="spellStart"/>
      <w:r w:rsidRPr="005C55F2">
        <w:rPr>
          <w:rFonts w:ascii="Arial" w:eastAsia="Arial" w:hAnsi="Arial" w:cs="Arial"/>
          <w:sz w:val="20"/>
          <w:szCs w:val="20"/>
        </w:rPr>
        <w:t>Trunking</w:t>
      </w:r>
      <w:proofErr w:type="spellEnd"/>
      <w:r w:rsidRPr="005C55F2">
        <w:rPr>
          <w:rFonts w:ascii="Times New Roman" w:eastAsia="Arial" w:hAnsi="Times New Roman" w:cs="Times New Roman"/>
          <w:sz w:val="24"/>
          <w:szCs w:val="24"/>
        </w:rPr>
        <w:t xml:space="preserve"> </w:t>
      </w:r>
      <w:r w:rsidRPr="005C55F2">
        <w:rPr>
          <w:rFonts w:ascii="Arial" w:eastAsia="Arial" w:hAnsi="Arial" w:cs="Arial"/>
          <w:sz w:val="20"/>
          <w:szCs w:val="20"/>
        </w:rPr>
        <w:t>for Contact Center</w:t>
      </w:r>
      <w:r>
        <w:rPr>
          <w:rFonts w:ascii="Arial" w:eastAsia="Arial" w:hAnsi="Arial" w:cs="Arial"/>
          <w:sz w:val="20"/>
          <w:szCs w:val="20"/>
        </w:rPr>
        <w:t xml:space="preserve">.  </w:t>
      </w:r>
    </w:p>
    <w:p w14:paraId="63622765" w14:textId="77777777" w:rsidR="00D41032" w:rsidRPr="006D2E4D" w:rsidRDefault="00D41032" w:rsidP="00D41032">
      <w:pPr>
        <w:pStyle w:val="BodyText"/>
        <w:tabs>
          <w:tab w:val="left" w:pos="820"/>
        </w:tabs>
        <w:spacing w:before="13" w:line="250" w:lineRule="auto"/>
        <w:ind w:left="450" w:right="265"/>
        <w:rPr>
          <w:rFonts w:cs="Arial"/>
          <w:sz w:val="20"/>
          <w:szCs w:val="20"/>
        </w:rPr>
      </w:pPr>
    </w:p>
    <w:p w14:paraId="478E2AF1" w14:textId="77777777" w:rsidR="00D41032" w:rsidRDefault="00D41032" w:rsidP="00D41032">
      <w:pPr>
        <w:pStyle w:val="BodyText"/>
        <w:tabs>
          <w:tab w:val="left" w:pos="820"/>
        </w:tabs>
        <w:spacing w:before="13" w:line="250" w:lineRule="auto"/>
        <w:ind w:left="720" w:right="265"/>
        <w:rPr>
          <w:rFonts w:cs="Arial"/>
          <w:sz w:val="20"/>
          <w:szCs w:val="20"/>
        </w:rPr>
      </w:pPr>
      <w:r w:rsidRPr="006D2E4D">
        <w:rPr>
          <w:rFonts w:cs="Arial"/>
          <w:b/>
          <w:sz w:val="20"/>
          <w:szCs w:val="20"/>
        </w:rPr>
        <w:t>"</w:t>
      </w:r>
      <w:r>
        <w:rPr>
          <w:rFonts w:cs="Arial"/>
          <w:b/>
          <w:sz w:val="20"/>
          <w:szCs w:val="20"/>
        </w:rPr>
        <w:t>Contact Center</w:t>
      </w:r>
      <w:r w:rsidRPr="006D2E4D">
        <w:rPr>
          <w:rFonts w:cs="Arial"/>
          <w:b/>
          <w:sz w:val="20"/>
          <w:szCs w:val="20"/>
        </w:rPr>
        <w:t xml:space="preserve"> Fees"</w:t>
      </w:r>
      <w:r w:rsidRPr="006D2E4D">
        <w:rPr>
          <w:rFonts w:cs="Arial"/>
          <w:sz w:val="20"/>
          <w:szCs w:val="20"/>
        </w:rPr>
        <w:t xml:space="preserve"> means the fees associated with the </w:t>
      </w:r>
      <w:r>
        <w:rPr>
          <w:rFonts w:cs="Arial"/>
          <w:sz w:val="20"/>
          <w:szCs w:val="20"/>
        </w:rPr>
        <w:t xml:space="preserve">Contact Center </w:t>
      </w:r>
      <w:r w:rsidRPr="006D2E4D">
        <w:rPr>
          <w:rFonts w:cs="Arial"/>
          <w:sz w:val="20"/>
          <w:szCs w:val="20"/>
        </w:rPr>
        <w:t>Services for the monthly billing period in which an interruption of service occurred.</w:t>
      </w:r>
    </w:p>
    <w:p w14:paraId="3412283B" w14:textId="77777777" w:rsidR="00D41032" w:rsidRDefault="00D41032" w:rsidP="00D41032">
      <w:pPr>
        <w:pStyle w:val="BodyText"/>
        <w:tabs>
          <w:tab w:val="left" w:pos="820"/>
        </w:tabs>
        <w:spacing w:before="13" w:line="250" w:lineRule="auto"/>
        <w:ind w:left="720" w:right="265"/>
        <w:rPr>
          <w:rFonts w:cs="Arial"/>
          <w:sz w:val="20"/>
          <w:szCs w:val="20"/>
        </w:rPr>
      </w:pPr>
    </w:p>
    <w:p w14:paraId="379E409E" w14:textId="43DB558A" w:rsidR="00D41032" w:rsidRPr="0004072F" w:rsidRDefault="00D41032" w:rsidP="00D41032">
      <w:pPr>
        <w:pStyle w:val="BodyText"/>
        <w:tabs>
          <w:tab w:val="left" w:pos="820"/>
          <w:tab w:val="left" w:pos="8370"/>
        </w:tabs>
        <w:spacing w:before="13" w:line="250" w:lineRule="auto"/>
        <w:ind w:left="720" w:right="265"/>
        <w:rPr>
          <w:rFonts w:cs="Arial"/>
          <w:sz w:val="20"/>
          <w:szCs w:val="20"/>
        </w:rPr>
      </w:pPr>
      <w:r w:rsidRPr="008C0DB8">
        <w:rPr>
          <w:rFonts w:cs="Arial"/>
          <w:b/>
          <w:bCs/>
          <w:sz w:val="20"/>
          <w:szCs w:val="20"/>
        </w:rPr>
        <w:t>“Non-Service-Related Tools”</w:t>
      </w:r>
      <w:r w:rsidRPr="0004072F">
        <w:rPr>
          <w:rFonts w:cs="Arial"/>
          <w:sz w:val="20"/>
          <w:szCs w:val="20"/>
        </w:rPr>
        <w:t xml:space="preserve"> mean </w:t>
      </w:r>
      <w:r>
        <w:rPr>
          <w:rFonts w:cs="Arial"/>
          <w:sz w:val="20"/>
          <w:szCs w:val="20"/>
        </w:rPr>
        <w:t xml:space="preserve">all </w:t>
      </w:r>
      <w:r w:rsidRPr="0004072F">
        <w:rPr>
          <w:rFonts w:cs="Arial"/>
          <w:sz w:val="20"/>
          <w:szCs w:val="20"/>
        </w:rPr>
        <w:t>non-</w:t>
      </w:r>
      <w:r>
        <w:rPr>
          <w:rFonts w:cs="Arial"/>
          <w:sz w:val="20"/>
          <w:szCs w:val="20"/>
        </w:rPr>
        <w:t>core</w:t>
      </w:r>
      <w:r w:rsidRPr="0004072F">
        <w:rPr>
          <w:rFonts w:cs="Arial"/>
          <w:sz w:val="20"/>
          <w:szCs w:val="20"/>
        </w:rPr>
        <w:t xml:space="preserve"> Contact Center </w:t>
      </w:r>
      <w:r>
        <w:rPr>
          <w:rFonts w:cs="Arial"/>
          <w:sz w:val="20"/>
          <w:szCs w:val="20"/>
        </w:rPr>
        <w:t>s</w:t>
      </w:r>
      <w:r w:rsidRPr="0004072F">
        <w:rPr>
          <w:rFonts w:cs="Arial"/>
          <w:sz w:val="20"/>
          <w:szCs w:val="20"/>
        </w:rPr>
        <w:t xml:space="preserve">ervices, including, without limitation, </w:t>
      </w:r>
      <w:r w:rsidRPr="008C0DB8">
        <w:rPr>
          <w:sz w:val="20"/>
          <w:szCs w:val="20"/>
        </w:rPr>
        <w:t xml:space="preserve">recording services, </w:t>
      </w:r>
      <w:r w:rsidRPr="00A17E53">
        <w:rPr>
          <w:rFonts w:cs="Arial"/>
          <w:sz w:val="20"/>
          <w:szCs w:val="20"/>
        </w:rPr>
        <w:t>email queuing, chat services</w:t>
      </w:r>
      <w:r>
        <w:rPr>
          <w:rFonts w:cs="Arial"/>
          <w:sz w:val="20"/>
          <w:szCs w:val="20"/>
        </w:rPr>
        <w:t>,</w:t>
      </w:r>
      <w:r w:rsidRPr="008C0DB8">
        <w:rPr>
          <w:sz w:val="20"/>
          <w:szCs w:val="20"/>
        </w:rPr>
        <w:t xml:space="preserve"> reporting services (e.g., scheduled reports), </w:t>
      </w:r>
      <w:r w:rsidR="008F355B">
        <w:rPr>
          <w:sz w:val="20"/>
          <w:szCs w:val="20"/>
        </w:rPr>
        <w:t>C</w:t>
      </w:r>
      <w:r w:rsidR="00C1454B">
        <w:rPr>
          <w:sz w:val="20"/>
          <w:szCs w:val="20"/>
        </w:rPr>
        <w:t>ompany</w:t>
      </w:r>
      <w:r w:rsidRPr="0004072F">
        <w:rPr>
          <w:sz w:val="20"/>
          <w:szCs w:val="20"/>
        </w:rPr>
        <w:t xml:space="preserve"> provided APIs</w:t>
      </w:r>
      <w:r>
        <w:rPr>
          <w:sz w:val="20"/>
          <w:szCs w:val="20"/>
        </w:rPr>
        <w:t>, a</w:t>
      </w:r>
      <w:r w:rsidRPr="0004072F">
        <w:rPr>
          <w:sz w:val="20"/>
          <w:szCs w:val="20"/>
        </w:rPr>
        <w:t xml:space="preserve">dministration </w:t>
      </w:r>
      <w:r>
        <w:rPr>
          <w:sz w:val="20"/>
          <w:szCs w:val="20"/>
        </w:rPr>
        <w:t>w</w:t>
      </w:r>
      <w:r w:rsidRPr="0004072F">
        <w:rPr>
          <w:sz w:val="20"/>
          <w:szCs w:val="20"/>
        </w:rPr>
        <w:t>eb portals</w:t>
      </w:r>
      <w:r>
        <w:rPr>
          <w:sz w:val="20"/>
          <w:szCs w:val="20"/>
        </w:rPr>
        <w:t>, E</w:t>
      </w:r>
      <w:r w:rsidRPr="0004072F">
        <w:rPr>
          <w:sz w:val="20"/>
          <w:szCs w:val="20"/>
        </w:rPr>
        <w:t xml:space="preserve">valuator </w:t>
      </w:r>
      <w:r>
        <w:rPr>
          <w:sz w:val="20"/>
          <w:szCs w:val="20"/>
        </w:rPr>
        <w:t>s</w:t>
      </w:r>
      <w:r w:rsidRPr="0004072F">
        <w:rPr>
          <w:sz w:val="20"/>
          <w:szCs w:val="20"/>
        </w:rPr>
        <w:t>ervices</w:t>
      </w:r>
      <w:r>
        <w:rPr>
          <w:sz w:val="20"/>
          <w:szCs w:val="20"/>
        </w:rPr>
        <w:t>, s</w:t>
      </w:r>
      <w:r w:rsidRPr="0004072F">
        <w:rPr>
          <w:sz w:val="20"/>
          <w:szCs w:val="20"/>
        </w:rPr>
        <w:t xml:space="preserve">cheduling </w:t>
      </w:r>
      <w:r>
        <w:rPr>
          <w:sz w:val="20"/>
          <w:szCs w:val="20"/>
        </w:rPr>
        <w:t>m</w:t>
      </w:r>
      <w:r w:rsidRPr="0004072F">
        <w:rPr>
          <w:sz w:val="20"/>
          <w:szCs w:val="20"/>
        </w:rPr>
        <w:t>anager</w:t>
      </w:r>
      <w:r>
        <w:rPr>
          <w:sz w:val="20"/>
          <w:szCs w:val="20"/>
        </w:rPr>
        <w:t>, n</w:t>
      </w:r>
      <w:r w:rsidRPr="0004072F">
        <w:rPr>
          <w:sz w:val="20"/>
          <w:szCs w:val="20"/>
        </w:rPr>
        <w:t>on-</w:t>
      </w:r>
      <w:r>
        <w:rPr>
          <w:sz w:val="20"/>
          <w:szCs w:val="20"/>
        </w:rPr>
        <w:t>q</w:t>
      </w:r>
      <w:r w:rsidRPr="0004072F">
        <w:rPr>
          <w:sz w:val="20"/>
          <w:szCs w:val="20"/>
        </w:rPr>
        <w:t xml:space="preserve">ueue related email </w:t>
      </w:r>
      <w:r>
        <w:rPr>
          <w:sz w:val="20"/>
          <w:szCs w:val="20"/>
        </w:rPr>
        <w:t>s</w:t>
      </w:r>
      <w:r w:rsidRPr="0004072F">
        <w:rPr>
          <w:sz w:val="20"/>
          <w:szCs w:val="20"/>
        </w:rPr>
        <w:t>ervices</w:t>
      </w:r>
      <w:r>
        <w:rPr>
          <w:sz w:val="20"/>
          <w:szCs w:val="20"/>
        </w:rPr>
        <w:t>, p</w:t>
      </w:r>
      <w:r w:rsidRPr="0004072F">
        <w:rPr>
          <w:sz w:val="20"/>
          <w:szCs w:val="20"/>
        </w:rPr>
        <w:t xml:space="preserve">resence </w:t>
      </w:r>
      <w:r>
        <w:rPr>
          <w:sz w:val="20"/>
          <w:szCs w:val="20"/>
        </w:rPr>
        <w:t>in</w:t>
      </w:r>
      <w:r w:rsidRPr="0004072F">
        <w:rPr>
          <w:sz w:val="20"/>
          <w:szCs w:val="20"/>
        </w:rPr>
        <w:t>tegrations</w:t>
      </w:r>
      <w:r>
        <w:rPr>
          <w:sz w:val="20"/>
          <w:szCs w:val="20"/>
        </w:rPr>
        <w:t>, dynamic notifications, and t</w:t>
      </w:r>
      <w:r w:rsidRPr="008C0DB8">
        <w:rPr>
          <w:sz w:val="20"/>
          <w:szCs w:val="20"/>
        </w:rPr>
        <w:t>ranscriptions</w:t>
      </w:r>
      <w:r>
        <w:rPr>
          <w:sz w:val="20"/>
          <w:szCs w:val="20"/>
        </w:rPr>
        <w:t>.</w:t>
      </w:r>
    </w:p>
    <w:p w14:paraId="4D21B76D" w14:textId="77777777" w:rsidR="00D41032" w:rsidRDefault="00D41032" w:rsidP="00D41032">
      <w:pPr>
        <w:pStyle w:val="BodyText"/>
        <w:tabs>
          <w:tab w:val="left" w:pos="820"/>
        </w:tabs>
        <w:spacing w:before="13" w:line="250" w:lineRule="auto"/>
        <w:ind w:left="720" w:right="265"/>
        <w:rPr>
          <w:rFonts w:cs="Arial"/>
          <w:sz w:val="20"/>
          <w:szCs w:val="20"/>
        </w:rPr>
      </w:pPr>
    </w:p>
    <w:p w14:paraId="48EBBDD7" w14:textId="49839ED1" w:rsidR="00D41032" w:rsidRDefault="00D41032" w:rsidP="00814570">
      <w:pPr>
        <w:pStyle w:val="BodyText"/>
        <w:tabs>
          <w:tab w:val="left" w:pos="820"/>
        </w:tabs>
        <w:spacing w:before="13" w:line="250" w:lineRule="auto"/>
        <w:ind w:left="720" w:right="265"/>
        <w:rPr>
          <w:rFonts w:cs="Arial"/>
          <w:sz w:val="20"/>
          <w:szCs w:val="20"/>
        </w:rPr>
      </w:pPr>
      <w:r w:rsidRPr="007F13A6">
        <w:rPr>
          <w:rFonts w:cs="Arial"/>
          <w:b/>
          <w:bCs/>
          <w:sz w:val="20"/>
          <w:szCs w:val="20"/>
        </w:rPr>
        <w:t xml:space="preserve">“SIP </w:t>
      </w:r>
      <w:proofErr w:type="spellStart"/>
      <w:r w:rsidRPr="007F13A6">
        <w:rPr>
          <w:rFonts w:cs="Arial"/>
          <w:b/>
          <w:bCs/>
          <w:sz w:val="20"/>
          <w:szCs w:val="20"/>
        </w:rPr>
        <w:t>Trunking</w:t>
      </w:r>
      <w:proofErr w:type="spellEnd"/>
      <w:r w:rsidRPr="007F13A6">
        <w:rPr>
          <w:rFonts w:cs="Arial"/>
          <w:b/>
          <w:bCs/>
          <w:sz w:val="20"/>
          <w:szCs w:val="20"/>
        </w:rPr>
        <w:t xml:space="preserve"> for Contact Center”</w:t>
      </w:r>
      <w:r w:rsidRPr="007F13A6">
        <w:rPr>
          <w:rFonts w:cs="Arial"/>
          <w:sz w:val="20"/>
          <w:szCs w:val="20"/>
        </w:rPr>
        <w:t xml:space="preserve"> means</w:t>
      </w:r>
      <w:r>
        <w:rPr>
          <w:rFonts w:cs="Arial"/>
          <w:sz w:val="20"/>
          <w:szCs w:val="20"/>
        </w:rPr>
        <w:t xml:space="preserve"> </w:t>
      </w:r>
      <w:r w:rsidR="005C7D80">
        <w:rPr>
          <w:rFonts w:cs="Arial"/>
          <w:sz w:val="20"/>
          <w:szCs w:val="20"/>
        </w:rPr>
        <w:t>Company’s</w:t>
      </w:r>
      <w:r>
        <w:rPr>
          <w:rFonts w:cs="Arial"/>
          <w:sz w:val="20"/>
          <w:szCs w:val="20"/>
        </w:rPr>
        <w:t xml:space="preserve"> network, session border controllers, and voice gateway used for the purpose of interconnection between </w:t>
      </w:r>
      <w:r w:rsidR="00F27DF4">
        <w:rPr>
          <w:rFonts w:cs="Arial"/>
          <w:sz w:val="20"/>
          <w:szCs w:val="20"/>
        </w:rPr>
        <w:t>Company</w:t>
      </w:r>
      <w:r>
        <w:rPr>
          <w:rFonts w:cs="Arial"/>
          <w:sz w:val="20"/>
          <w:szCs w:val="20"/>
        </w:rPr>
        <w:t>’s voice network and the Customer’s voice platform for Contact Center Services, but excludes certain features such as E911 and dial tone services</w:t>
      </w:r>
    </w:p>
    <w:p w14:paraId="5739A0A6" w14:textId="77777777" w:rsidR="00814570" w:rsidRPr="006D2E4D" w:rsidRDefault="00814570" w:rsidP="00D41032">
      <w:pPr>
        <w:pStyle w:val="BodyText"/>
        <w:tabs>
          <w:tab w:val="left" w:pos="820"/>
        </w:tabs>
        <w:spacing w:before="13" w:line="250" w:lineRule="auto"/>
        <w:ind w:left="450" w:right="265"/>
        <w:rPr>
          <w:rFonts w:cs="Arial"/>
          <w:sz w:val="20"/>
          <w:szCs w:val="20"/>
        </w:rPr>
      </w:pPr>
    </w:p>
    <w:p w14:paraId="16DEAD03" w14:textId="77777777" w:rsidR="00D41032" w:rsidRPr="006D2E4D" w:rsidRDefault="00D41032" w:rsidP="00D41032">
      <w:pPr>
        <w:pStyle w:val="BodyText"/>
        <w:tabs>
          <w:tab w:val="left" w:pos="820"/>
        </w:tabs>
        <w:spacing w:before="13" w:line="250" w:lineRule="auto"/>
        <w:ind w:left="720" w:right="265"/>
        <w:rPr>
          <w:rFonts w:cs="Arial"/>
          <w:sz w:val="20"/>
          <w:szCs w:val="20"/>
        </w:rPr>
      </w:pPr>
      <w:r w:rsidRPr="006D2E4D">
        <w:rPr>
          <w:rFonts w:cs="Arial"/>
          <w:b/>
          <w:sz w:val="20"/>
          <w:szCs w:val="20"/>
        </w:rPr>
        <w:t>“Scheduled Maintenance”</w:t>
      </w:r>
      <w:r w:rsidRPr="006D2E4D">
        <w:rPr>
          <w:rFonts w:cs="Arial"/>
          <w:sz w:val="20"/>
          <w:szCs w:val="20"/>
        </w:rPr>
        <w:t xml:space="preserve"> means maintenance that is announced at least ten (10)</w:t>
      </w:r>
      <w:r>
        <w:rPr>
          <w:rFonts w:cs="Arial"/>
          <w:sz w:val="20"/>
          <w:szCs w:val="20"/>
        </w:rPr>
        <w:t xml:space="preserve"> </w:t>
      </w:r>
      <w:r w:rsidRPr="006D2E4D">
        <w:rPr>
          <w:rFonts w:cs="Arial"/>
          <w:sz w:val="20"/>
          <w:szCs w:val="20"/>
        </w:rPr>
        <w:t>business days in advance, and that does not exceed sixty (60) minutes in any calendar month.</w:t>
      </w:r>
    </w:p>
    <w:p w14:paraId="779FFFA3" w14:textId="77777777" w:rsidR="00D41032" w:rsidRPr="006D2E4D" w:rsidRDefault="00D41032" w:rsidP="00D41032">
      <w:pPr>
        <w:rPr>
          <w:rFonts w:ascii="Arial" w:eastAsia="Arial" w:hAnsi="Arial" w:cs="Arial"/>
          <w:b/>
          <w:smallCaps/>
          <w:sz w:val="20"/>
          <w:szCs w:val="20"/>
        </w:rPr>
      </w:pPr>
    </w:p>
    <w:p w14:paraId="501F0F38" w14:textId="77777777" w:rsidR="00D41032" w:rsidRPr="006D2E4D" w:rsidRDefault="00D41032" w:rsidP="00D41032">
      <w:pPr>
        <w:rPr>
          <w:rFonts w:ascii="Arial" w:hAnsi="Arial" w:cs="Arial"/>
          <w:sz w:val="20"/>
          <w:szCs w:val="20"/>
        </w:rPr>
      </w:pPr>
      <w:r w:rsidRPr="006D2E4D">
        <w:rPr>
          <w:rFonts w:ascii="Arial" w:eastAsia="Times New Roman" w:hAnsi="Arial" w:cs="Arial"/>
          <w:b/>
          <w:bCs/>
          <w:color w:val="222222"/>
          <w:sz w:val="20"/>
          <w:szCs w:val="20"/>
        </w:rPr>
        <w:t>2.</w:t>
      </w:r>
      <w:r w:rsidRPr="006D2E4D">
        <w:rPr>
          <w:rFonts w:ascii="Arial" w:eastAsia="Times New Roman" w:hAnsi="Arial" w:cs="Arial"/>
          <w:bCs/>
          <w:color w:val="222222"/>
          <w:sz w:val="20"/>
          <w:szCs w:val="20"/>
        </w:rPr>
        <w:tab/>
      </w:r>
      <w:r w:rsidRPr="00EE027B">
        <w:rPr>
          <w:rFonts w:ascii="Arial" w:hAnsi="Arial" w:cs="Arial"/>
          <w:b/>
          <w:smallCaps/>
          <w:sz w:val="20"/>
          <w:szCs w:val="20"/>
        </w:rPr>
        <w:t>Service</w:t>
      </w:r>
    </w:p>
    <w:p w14:paraId="5297ACB0" w14:textId="77777777" w:rsidR="00D41032" w:rsidRPr="006D2E4D" w:rsidRDefault="00D41032" w:rsidP="00D41032">
      <w:pPr>
        <w:spacing w:line="252" w:lineRule="auto"/>
        <w:ind w:right="328"/>
        <w:rPr>
          <w:rFonts w:ascii="Arial" w:hAnsi="Arial" w:cs="Arial"/>
          <w:sz w:val="20"/>
          <w:szCs w:val="20"/>
        </w:rPr>
      </w:pPr>
    </w:p>
    <w:p w14:paraId="1FC8B182" w14:textId="77777777" w:rsidR="00D41032" w:rsidRPr="006D2E4D" w:rsidRDefault="00D41032" w:rsidP="00D41032">
      <w:pPr>
        <w:spacing w:line="252" w:lineRule="auto"/>
        <w:ind w:left="100" w:right="328"/>
        <w:rPr>
          <w:rFonts w:ascii="Arial" w:hAnsi="Arial" w:cs="Arial"/>
          <w:sz w:val="20"/>
          <w:szCs w:val="20"/>
        </w:rPr>
      </w:pPr>
      <w:r>
        <w:rPr>
          <w:rFonts w:ascii="Arial" w:hAnsi="Arial" w:cs="Arial"/>
          <w:sz w:val="20"/>
          <w:szCs w:val="20"/>
        </w:rPr>
        <w:t>Contact Center</w:t>
      </w:r>
      <w:r w:rsidRPr="006D2E4D">
        <w:rPr>
          <w:rFonts w:ascii="Arial" w:hAnsi="Arial" w:cs="Arial"/>
          <w:sz w:val="20"/>
          <w:szCs w:val="20"/>
        </w:rPr>
        <w:t xml:space="preserve"> Services will use commercially reasonable efforts to provide the </w:t>
      </w:r>
      <w:r>
        <w:rPr>
          <w:rFonts w:ascii="Arial" w:hAnsi="Arial" w:cs="Arial"/>
          <w:sz w:val="20"/>
          <w:szCs w:val="20"/>
        </w:rPr>
        <w:t>Contact Center s</w:t>
      </w:r>
      <w:r w:rsidRPr="006D2E4D">
        <w:rPr>
          <w:rFonts w:ascii="Arial" w:hAnsi="Arial" w:cs="Arial"/>
          <w:sz w:val="20"/>
          <w:szCs w:val="20"/>
        </w:rPr>
        <w:t>ervices as defined by the plan or plans purchased or subscribed to under Your Account.</w:t>
      </w:r>
    </w:p>
    <w:p w14:paraId="714E8C55" w14:textId="77777777" w:rsidR="00D41032" w:rsidRPr="006D2E4D" w:rsidRDefault="00D41032" w:rsidP="00D41032">
      <w:pPr>
        <w:spacing w:line="252" w:lineRule="auto"/>
        <w:ind w:left="100" w:right="328"/>
        <w:rPr>
          <w:rFonts w:ascii="Arial" w:hAnsi="Arial" w:cs="Arial"/>
          <w:sz w:val="20"/>
          <w:szCs w:val="20"/>
        </w:rPr>
      </w:pPr>
    </w:p>
    <w:p w14:paraId="6D6A9D5A" w14:textId="77777777" w:rsidR="00D41032" w:rsidRPr="006D2E4D" w:rsidRDefault="00D41032" w:rsidP="00D41032">
      <w:pPr>
        <w:rPr>
          <w:rFonts w:ascii="Arial" w:hAnsi="Arial" w:cs="Arial"/>
          <w:smallCaps/>
          <w:sz w:val="20"/>
          <w:szCs w:val="20"/>
        </w:rPr>
      </w:pPr>
      <w:r w:rsidRPr="006D2E4D">
        <w:rPr>
          <w:rFonts w:ascii="Arial" w:eastAsia="Arial" w:hAnsi="Arial" w:cs="Arial"/>
          <w:b/>
          <w:smallCaps/>
          <w:sz w:val="20"/>
          <w:szCs w:val="20"/>
        </w:rPr>
        <w:t>3.</w:t>
      </w:r>
      <w:r w:rsidRPr="006D2E4D">
        <w:rPr>
          <w:rFonts w:ascii="Arial" w:hAnsi="Arial" w:cs="Arial"/>
          <w:b/>
          <w:smallCaps/>
          <w:sz w:val="20"/>
          <w:szCs w:val="20"/>
        </w:rPr>
        <w:tab/>
        <w:t>Service Availability</w:t>
      </w:r>
    </w:p>
    <w:p w14:paraId="2E2364EE" w14:textId="77777777" w:rsidR="00D41032" w:rsidRPr="006D2E4D" w:rsidRDefault="00D41032" w:rsidP="00D41032">
      <w:pPr>
        <w:rPr>
          <w:rFonts w:ascii="Arial" w:hAnsi="Arial" w:cs="Arial"/>
          <w:b/>
          <w:bCs/>
          <w:sz w:val="20"/>
          <w:szCs w:val="20"/>
        </w:rPr>
      </w:pPr>
    </w:p>
    <w:p w14:paraId="1EE3D335" w14:textId="5CB405EC" w:rsidR="00D41032" w:rsidRPr="006D2E4D" w:rsidRDefault="00D41032" w:rsidP="00D41032">
      <w:pPr>
        <w:ind w:left="720"/>
        <w:rPr>
          <w:rFonts w:ascii="Arial" w:hAnsi="Arial" w:cs="Arial"/>
          <w:sz w:val="20"/>
          <w:szCs w:val="20"/>
        </w:rPr>
      </w:pPr>
      <w:r w:rsidRPr="006D2E4D">
        <w:rPr>
          <w:rFonts w:ascii="Arial" w:hAnsi="Arial" w:cs="Arial"/>
          <w:sz w:val="20"/>
          <w:szCs w:val="20"/>
        </w:rPr>
        <w:t>3.1.</w:t>
      </w:r>
      <w:r w:rsidRPr="006D2E4D">
        <w:rPr>
          <w:rFonts w:ascii="Arial" w:hAnsi="Arial" w:cs="Arial"/>
          <w:sz w:val="20"/>
          <w:szCs w:val="20"/>
        </w:rPr>
        <w:tab/>
      </w:r>
      <w:r w:rsidRPr="006D2E4D">
        <w:rPr>
          <w:rFonts w:ascii="Arial" w:hAnsi="Arial" w:cs="Arial"/>
          <w:sz w:val="20"/>
          <w:szCs w:val="20"/>
          <w:u w:val="single"/>
        </w:rPr>
        <w:t>Definitions</w:t>
      </w:r>
      <w:r w:rsidRPr="006D2E4D">
        <w:rPr>
          <w:rFonts w:ascii="Arial" w:hAnsi="Arial" w:cs="Arial"/>
          <w:sz w:val="20"/>
          <w:szCs w:val="20"/>
        </w:rPr>
        <w:t xml:space="preserve">. </w:t>
      </w:r>
      <w:r w:rsidRPr="006D2E4D">
        <w:rPr>
          <w:rFonts w:ascii="Arial" w:hAnsi="Arial" w:cs="Arial"/>
          <w:b/>
          <w:sz w:val="20"/>
          <w:szCs w:val="20"/>
        </w:rPr>
        <w:t xml:space="preserve">“Service Availability” </w:t>
      </w:r>
      <w:r w:rsidRPr="006D2E4D">
        <w:rPr>
          <w:rFonts w:ascii="Arial" w:hAnsi="Arial" w:cs="Arial"/>
          <w:sz w:val="20"/>
          <w:szCs w:val="20"/>
        </w:rPr>
        <w:t xml:space="preserve">means </w:t>
      </w:r>
      <w:r>
        <w:rPr>
          <w:rFonts w:ascii="Arial" w:hAnsi="Arial" w:cs="Arial"/>
          <w:sz w:val="20"/>
          <w:szCs w:val="20"/>
        </w:rPr>
        <w:t>Contact Center</w:t>
      </w:r>
      <w:r w:rsidRPr="006D2E4D">
        <w:rPr>
          <w:rFonts w:ascii="Arial" w:hAnsi="Arial" w:cs="Arial"/>
          <w:sz w:val="20"/>
          <w:szCs w:val="20"/>
        </w:rPr>
        <w:t xml:space="preserve"> Availability. </w:t>
      </w:r>
      <w:r w:rsidR="002B65F7">
        <w:rPr>
          <w:rFonts w:ascii="Arial" w:hAnsi="Arial" w:cs="Arial"/>
          <w:sz w:val="20"/>
          <w:szCs w:val="20"/>
        </w:rPr>
        <w:t>Company</w:t>
      </w:r>
      <w:r w:rsidRPr="006D2E4D">
        <w:rPr>
          <w:rFonts w:ascii="Arial" w:hAnsi="Arial" w:cs="Arial"/>
          <w:sz w:val="20"/>
          <w:szCs w:val="20"/>
        </w:rPr>
        <w:t xml:space="preserve"> will use commercially reasonable efforts to provide 99.999% </w:t>
      </w:r>
      <w:r>
        <w:rPr>
          <w:rFonts w:ascii="Arial" w:hAnsi="Arial" w:cs="Arial"/>
          <w:sz w:val="20"/>
          <w:szCs w:val="20"/>
        </w:rPr>
        <w:t>Contact Center</w:t>
      </w:r>
      <w:r w:rsidRPr="006D2E4D">
        <w:rPr>
          <w:rFonts w:ascii="Arial" w:hAnsi="Arial" w:cs="Arial"/>
          <w:sz w:val="20"/>
          <w:szCs w:val="20"/>
        </w:rPr>
        <w:t xml:space="preserve"> Availability</w:t>
      </w:r>
      <w:r w:rsidRPr="006D2E4D" w:rsidDel="0024359D">
        <w:rPr>
          <w:rFonts w:ascii="Arial" w:hAnsi="Arial" w:cs="Arial"/>
          <w:sz w:val="20"/>
          <w:szCs w:val="20"/>
        </w:rPr>
        <w:t xml:space="preserve"> </w:t>
      </w:r>
      <w:r w:rsidRPr="006D2E4D">
        <w:rPr>
          <w:rFonts w:ascii="Arial" w:hAnsi="Arial" w:cs="Arial"/>
          <w:sz w:val="20"/>
          <w:szCs w:val="20"/>
        </w:rPr>
        <w:t xml:space="preserve">on a calendar-month basis. </w:t>
      </w:r>
      <w:r w:rsidRPr="006D2E4D">
        <w:rPr>
          <w:rFonts w:ascii="Arial" w:eastAsia="Arial" w:hAnsi="Arial" w:cs="Arial"/>
          <w:b/>
          <w:sz w:val="20"/>
          <w:szCs w:val="20"/>
        </w:rPr>
        <w:t>“</w:t>
      </w:r>
      <w:r>
        <w:rPr>
          <w:rFonts w:ascii="Arial" w:eastAsia="Arial" w:hAnsi="Arial" w:cs="Arial"/>
          <w:b/>
          <w:sz w:val="20"/>
          <w:szCs w:val="20"/>
        </w:rPr>
        <w:t>Contact Center</w:t>
      </w:r>
      <w:r w:rsidRPr="006D2E4D">
        <w:rPr>
          <w:rFonts w:ascii="Arial" w:eastAsia="Arial" w:hAnsi="Arial" w:cs="Arial"/>
          <w:b/>
          <w:sz w:val="20"/>
          <w:szCs w:val="20"/>
        </w:rPr>
        <w:t xml:space="preserve"> Availability”</w:t>
      </w:r>
      <w:r w:rsidRPr="006D2E4D">
        <w:rPr>
          <w:rFonts w:ascii="Arial" w:eastAsia="Arial" w:hAnsi="Arial" w:cs="Arial"/>
          <w:sz w:val="20"/>
          <w:szCs w:val="20"/>
        </w:rPr>
        <w:t xml:space="preserve"> means the monthly uptime percentage</w:t>
      </w:r>
      <w:r>
        <w:rPr>
          <w:rFonts w:ascii="Arial" w:eastAsia="Arial" w:hAnsi="Arial" w:cs="Arial"/>
          <w:sz w:val="20"/>
          <w:szCs w:val="20"/>
        </w:rPr>
        <w:t xml:space="preserve"> of the Contact Center Services (where uptime is defined as the ability of the Service to receive and </w:t>
      </w:r>
      <w:r>
        <w:rPr>
          <w:rFonts w:ascii="Arial" w:eastAsia="Arial" w:hAnsi="Arial" w:cs="Arial"/>
          <w:sz w:val="20"/>
          <w:szCs w:val="20"/>
        </w:rPr>
        <w:lastRenderedPageBreak/>
        <w:t>queue inbound calls and route such calls to the correct destination),</w:t>
      </w:r>
      <w:r w:rsidRPr="006D2E4D">
        <w:rPr>
          <w:rFonts w:ascii="Arial" w:eastAsia="Arial" w:hAnsi="Arial" w:cs="Arial"/>
          <w:sz w:val="20"/>
          <w:szCs w:val="20"/>
        </w:rPr>
        <w:t xml:space="preserve"> excluding </w:t>
      </w:r>
      <w:r>
        <w:rPr>
          <w:rFonts w:ascii="Arial" w:eastAsia="Arial" w:hAnsi="Arial" w:cs="Arial"/>
          <w:sz w:val="20"/>
          <w:szCs w:val="20"/>
        </w:rPr>
        <w:t xml:space="preserve">Non-Service-Related Tools and </w:t>
      </w:r>
      <w:r w:rsidRPr="006D2E4D">
        <w:rPr>
          <w:rFonts w:ascii="Arial" w:eastAsia="Arial" w:hAnsi="Arial" w:cs="Arial"/>
          <w:sz w:val="20"/>
          <w:szCs w:val="20"/>
        </w:rPr>
        <w:t>scheduled maintenance</w:t>
      </w:r>
      <w:r>
        <w:rPr>
          <w:rFonts w:ascii="Arial" w:eastAsia="Arial" w:hAnsi="Arial" w:cs="Arial"/>
          <w:sz w:val="20"/>
          <w:szCs w:val="20"/>
        </w:rPr>
        <w:t xml:space="preserve">, </w:t>
      </w:r>
      <w:r w:rsidRPr="006D2E4D">
        <w:rPr>
          <w:rFonts w:ascii="Arial" w:eastAsia="Arial" w:hAnsi="Arial" w:cs="Arial"/>
          <w:sz w:val="20"/>
          <w:szCs w:val="20"/>
        </w:rPr>
        <w:t xml:space="preserve">that </w:t>
      </w:r>
      <w:r w:rsidR="00F676D8">
        <w:rPr>
          <w:rFonts w:ascii="Arial" w:eastAsia="Arial" w:hAnsi="Arial" w:cs="Arial"/>
          <w:sz w:val="20"/>
          <w:szCs w:val="20"/>
        </w:rPr>
        <w:t>Company</w:t>
      </w:r>
      <w:r w:rsidRPr="006D2E4D">
        <w:rPr>
          <w:rFonts w:ascii="Arial" w:eastAsia="Arial" w:hAnsi="Arial" w:cs="Arial"/>
          <w:sz w:val="20"/>
          <w:szCs w:val="20"/>
        </w:rPr>
        <w:t xml:space="preserve"> guarantees during any monthly billing cycle. </w:t>
      </w:r>
    </w:p>
    <w:p w14:paraId="252A5C71" w14:textId="77777777" w:rsidR="00D41032" w:rsidRPr="006D2E4D" w:rsidRDefault="00D41032" w:rsidP="00D41032">
      <w:pPr>
        <w:ind w:left="450"/>
        <w:rPr>
          <w:rFonts w:ascii="Arial" w:hAnsi="Arial" w:cs="Arial"/>
          <w:sz w:val="20"/>
          <w:szCs w:val="20"/>
        </w:rPr>
      </w:pPr>
    </w:p>
    <w:p w14:paraId="652919C4" w14:textId="01541C95" w:rsidR="00D41032" w:rsidRPr="006D2E4D" w:rsidRDefault="00D41032" w:rsidP="00D41032">
      <w:pPr>
        <w:ind w:left="720"/>
        <w:rPr>
          <w:rFonts w:ascii="Arial" w:hAnsi="Arial" w:cs="Arial"/>
          <w:sz w:val="20"/>
          <w:szCs w:val="20"/>
        </w:rPr>
      </w:pPr>
      <w:r w:rsidRPr="006D2E4D">
        <w:rPr>
          <w:rFonts w:ascii="Arial" w:eastAsia="Arial" w:hAnsi="Arial" w:cs="Arial"/>
          <w:sz w:val="20"/>
          <w:szCs w:val="20"/>
        </w:rPr>
        <w:t>3.2.</w:t>
      </w:r>
      <w:r w:rsidRPr="006D2E4D">
        <w:rPr>
          <w:rFonts w:ascii="Arial" w:eastAsia="Arial" w:hAnsi="Arial" w:cs="Arial"/>
          <w:sz w:val="20"/>
          <w:szCs w:val="20"/>
        </w:rPr>
        <w:tab/>
      </w:r>
      <w:r w:rsidRPr="006D2E4D">
        <w:rPr>
          <w:rFonts w:ascii="Arial" w:hAnsi="Arial" w:cs="Arial"/>
          <w:sz w:val="20"/>
          <w:szCs w:val="20"/>
          <w:u w:val="single"/>
        </w:rPr>
        <w:t>Exclusions</w:t>
      </w:r>
      <w:r w:rsidRPr="007741FF">
        <w:rPr>
          <w:rFonts w:ascii="Arial" w:hAnsi="Arial" w:cs="Arial"/>
          <w:sz w:val="20"/>
          <w:szCs w:val="20"/>
        </w:rPr>
        <w:t xml:space="preserve">. </w:t>
      </w:r>
      <w:r w:rsidRPr="006D2E4D">
        <w:rPr>
          <w:rFonts w:ascii="Arial" w:hAnsi="Arial" w:cs="Arial"/>
          <w:sz w:val="20"/>
          <w:szCs w:val="20"/>
        </w:rPr>
        <w:t>Loss of Service Availability caused by (</w:t>
      </w:r>
      <w:proofErr w:type="spellStart"/>
      <w:r w:rsidRPr="006D2E4D">
        <w:rPr>
          <w:rFonts w:ascii="Arial" w:hAnsi="Arial" w:cs="Arial"/>
          <w:sz w:val="20"/>
          <w:szCs w:val="20"/>
        </w:rPr>
        <w:t>i</w:t>
      </w:r>
      <w:proofErr w:type="spellEnd"/>
      <w:r w:rsidRPr="006D2E4D">
        <w:rPr>
          <w:rFonts w:ascii="Arial" w:hAnsi="Arial" w:cs="Arial"/>
          <w:sz w:val="20"/>
          <w:szCs w:val="20"/>
        </w:rPr>
        <w:t xml:space="preserve">) issues beyond </w:t>
      </w:r>
      <w:r w:rsidR="00F676D8">
        <w:rPr>
          <w:rFonts w:ascii="Arial" w:hAnsi="Arial" w:cs="Arial"/>
          <w:sz w:val="20"/>
          <w:szCs w:val="20"/>
        </w:rPr>
        <w:t>Company</w:t>
      </w:r>
      <w:r w:rsidR="001C065F">
        <w:rPr>
          <w:rFonts w:ascii="Arial" w:hAnsi="Arial" w:cs="Arial"/>
          <w:sz w:val="20"/>
          <w:szCs w:val="20"/>
        </w:rPr>
        <w:t>’s</w:t>
      </w:r>
      <w:r w:rsidRPr="006D2E4D">
        <w:rPr>
          <w:rFonts w:ascii="Arial" w:hAnsi="Arial" w:cs="Arial"/>
          <w:sz w:val="20"/>
          <w:szCs w:val="20"/>
        </w:rPr>
        <w:t xml:space="preserve"> reasonable control, including, without limitation,</w:t>
      </w:r>
      <w:r>
        <w:rPr>
          <w:rFonts w:ascii="Arial" w:hAnsi="Arial" w:cs="Arial"/>
          <w:sz w:val="20"/>
          <w:szCs w:val="20"/>
        </w:rPr>
        <w:t xml:space="preserve"> (a) </w:t>
      </w:r>
      <w:r w:rsidRPr="006D2E4D">
        <w:rPr>
          <w:rFonts w:ascii="Arial" w:hAnsi="Arial" w:cs="Arial"/>
          <w:sz w:val="20"/>
          <w:szCs w:val="20"/>
        </w:rPr>
        <w:t xml:space="preserve"> denial of service or similar attacks, Internet availability, </w:t>
      </w:r>
      <w:r>
        <w:rPr>
          <w:rFonts w:ascii="Arial" w:hAnsi="Arial" w:cs="Arial"/>
          <w:sz w:val="20"/>
          <w:szCs w:val="20"/>
        </w:rPr>
        <w:t xml:space="preserve">networking, telephony components, and hardware within Your environment and the environment of Your client(s), (b) failure of the Internet or public switched telephone network (“PSTN”) beyond a party’s reasonable control, or (c) </w:t>
      </w:r>
      <w:r w:rsidRPr="006D2E4D">
        <w:rPr>
          <w:rFonts w:ascii="Arial" w:hAnsi="Arial" w:cs="Arial"/>
          <w:sz w:val="20"/>
          <w:szCs w:val="20"/>
        </w:rPr>
        <w:t xml:space="preserve">any other Force Majeure Event; (ii) any </w:t>
      </w:r>
      <w:r>
        <w:rPr>
          <w:rFonts w:ascii="Arial" w:hAnsi="Arial" w:cs="Arial"/>
          <w:sz w:val="20"/>
          <w:szCs w:val="20"/>
        </w:rPr>
        <w:t xml:space="preserve">carrier voice service </w:t>
      </w:r>
      <w:r w:rsidRPr="006D2E4D">
        <w:rPr>
          <w:rFonts w:ascii="Arial" w:hAnsi="Arial" w:cs="Arial"/>
          <w:sz w:val="20"/>
          <w:szCs w:val="20"/>
        </w:rPr>
        <w:t>issues related to number porting, whether inbound or outbound</w:t>
      </w:r>
      <w:r>
        <w:rPr>
          <w:rFonts w:ascii="Arial" w:hAnsi="Arial" w:cs="Arial"/>
          <w:sz w:val="20"/>
          <w:szCs w:val="20"/>
        </w:rPr>
        <w:t xml:space="preserve"> or termination of calls to the PSTN, or (iii) configuration issues related to user error, </w:t>
      </w:r>
      <w:r w:rsidRPr="006D2E4D">
        <w:rPr>
          <w:rFonts w:ascii="Arial" w:hAnsi="Arial" w:cs="Arial"/>
          <w:sz w:val="20"/>
          <w:szCs w:val="20"/>
        </w:rPr>
        <w:t>will be excluded from Service Availability calculations.</w:t>
      </w:r>
      <w:r>
        <w:rPr>
          <w:rFonts w:ascii="Arial" w:hAnsi="Arial" w:cs="Arial"/>
          <w:sz w:val="20"/>
          <w:szCs w:val="20"/>
        </w:rPr>
        <w:t xml:space="preserve">  </w:t>
      </w:r>
    </w:p>
    <w:p w14:paraId="74CE4F50" w14:textId="77777777" w:rsidR="00D41032" w:rsidRPr="006D2E4D" w:rsidRDefault="00D41032" w:rsidP="00D41032">
      <w:pPr>
        <w:spacing w:before="11" w:line="240" w:lineRule="exact"/>
        <w:rPr>
          <w:rFonts w:ascii="Arial" w:hAnsi="Arial" w:cs="Arial"/>
          <w:sz w:val="20"/>
          <w:szCs w:val="20"/>
        </w:rPr>
      </w:pPr>
    </w:p>
    <w:p w14:paraId="29C5AB79" w14:textId="6944F01C" w:rsidR="00D41032" w:rsidRPr="006D2E4D" w:rsidRDefault="00D41032" w:rsidP="00D41032">
      <w:pPr>
        <w:pStyle w:val="Heading1"/>
        <w:ind w:left="715" w:right="328"/>
        <w:rPr>
          <w:rFonts w:cs="Arial"/>
          <w:b w:val="0"/>
          <w:sz w:val="20"/>
          <w:szCs w:val="20"/>
        </w:rPr>
      </w:pPr>
      <w:r w:rsidRPr="006D2E4D">
        <w:rPr>
          <w:rFonts w:cs="Arial"/>
          <w:b w:val="0"/>
          <w:bCs w:val="0"/>
          <w:sz w:val="20"/>
          <w:szCs w:val="20"/>
        </w:rPr>
        <w:t>3.3.</w:t>
      </w:r>
      <w:r w:rsidRPr="006D2E4D">
        <w:rPr>
          <w:rFonts w:cs="Arial"/>
          <w:bCs w:val="0"/>
          <w:sz w:val="20"/>
          <w:szCs w:val="20"/>
        </w:rPr>
        <w:tab/>
      </w:r>
      <w:r w:rsidRPr="006D2E4D">
        <w:rPr>
          <w:rFonts w:cs="Arial"/>
          <w:b w:val="0"/>
          <w:bCs w:val="0"/>
          <w:sz w:val="20"/>
          <w:szCs w:val="20"/>
          <w:u w:val="single"/>
        </w:rPr>
        <w:t>Availability Calculations</w:t>
      </w:r>
      <w:r w:rsidRPr="006D2E4D">
        <w:rPr>
          <w:rFonts w:cs="Arial"/>
          <w:b w:val="0"/>
          <w:bCs w:val="0"/>
          <w:sz w:val="20"/>
          <w:szCs w:val="20"/>
        </w:rPr>
        <w:t>.</w:t>
      </w:r>
      <w:r w:rsidRPr="006D2E4D">
        <w:rPr>
          <w:rFonts w:cs="Arial"/>
          <w:bCs w:val="0"/>
          <w:sz w:val="20"/>
          <w:szCs w:val="20"/>
        </w:rPr>
        <w:t xml:space="preserve"> </w:t>
      </w:r>
      <w:r w:rsidRPr="00802994">
        <w:rPr>
          <w:rFonts w:cs="Arial"/>
          <w:b w:val="0"/>
          <w:sz w:val="20"/>
          <w:szCs w:val="20"/>
        </w:rPr>
        <w:t>To calculate Service Availability</w:t>
      </w:r>
      <w:r w:rsidRPr="006D2E4D">
        <w:rPr>
          <w:rFonts w:cs="Arial"/>
          <w:b w:val="0"/>
          <w:sz w:val="20"/>
          <w:szCs w:val="20"/>
        </w:rPr>
        <w:t xml:space="preserve">, </w:t>
      </w:r>
      <w:r w:rsidR="00F676D8">
        <w:rPr>
          <w:rFonts w:cs="Arial"/>
          <w:b w:val="0"/>
          <w:sz w:val="20"/>
          <w:szCs w:val="20"/>
        </w:rPr>
        <w:t>Company</w:t>
      </w:r>
      <w:r w:rsidRPr="006D2E4D">
        <w:rPr>
          <w:rFonts w:cs="Arial"/>
          <w:b w:val="0"/>
          <w:sz w:val="20"/>
          <w:szCs w:val="20"/>
        </w:rPr>
        <w:t xml:space="preserve"> uses a combination of methods, including analyzing logs from both </w:t>
      </w:r>
      <w:r w:rsidR="00F676D8">
        <w:rPr>
          <w:rFonts w:cs="Arial"/>
          <w:b w:val="0"/>
          <w:sz w:val="20"/>
          <w:szCs w:val="20"/>
        </w:rPr>
        <w:t>Company</w:t>
      </w:r>
      <w:r>
        <w:rPr>
          <w:rFonts w:cs="Arial"/>
          <w:b w:val="0"/>
          <w:sz w:val="20"/>
          <w:szCs w:val="20"/>
        </w:rPr>
        <w:t xml:space="preserve">’s </w:t>
      </w:r>
      <w:r w:rsidRPr="006D2E4D">
        <w:rPr>
          <w:rFonts w:cs="Arial"/>
          <w:b w:val="0"/>
          <w:sz w:val="20"/>
          <w:szCs w:val="20"/>
        </w:rPr>
        <w:t xml:space="preserve">event monitoring system and the actual affected infrastructure components. </w:t>
      </w:r>
      <w:r w:rsidR="00D24B1A">
        <w:rPr>
          <w:rFonts w:cs="Arial"/>
          <w:b w:val="0"/>
          <w:sz w:val="20"/>
          <w:szCs w:val="20"/>
        </w:rPr>
        <w:t>Company</w:t>
      </w:r>
      <w:r w:rsidRPr="006D2E4D">
        <w:rPr>
          <w:rFonts w:cs="Arial"/>
          <w:b w:val="0"/>
          <w:sz w:val="20"/>
          <w:szCs w:val="20"/>
        </w:rPr>
        <w:t xml:space="preserve"> will match these findings with client reports to determine the actual timeframe. Any loss of Service Availability less than five (5) minutes in duration will not be included in the calculation of Service Availability.</w:t>
      </w:r>
    </w:p>
    <w:p w14:paraId="1F4FFABB" w14:textId="77777777" w:rsidR="00D41032" w:rsidRPr="006D2E4D" w:rsidRDefault="00D41032" w:rsidP="00D41032">
      <w:pPr>
        <w:spacing w:before="17" w:line="240" w:lineRule="exact"/>
        <w:ind w:left="360"/>
        <w:rPr>
          <w:rFonts w:ascii="Arial" w:hAnsi="Arial" w:cs="Arial"/>
          <w:b/>
          <w:sz w:val="20"/>
          <w:szCs w:val="20"/>
        </w:rPr>
      </w:pPr>
    </w:p>
    <w:p w14:paraId="5A528D22" w14:textId="77777777" w:rsidR="00D41032" w:rsidRPr="006D2E4D" w:rsidRDefault="00D41032" w:rsidP="00D41032">
      <w:pPr>
        <w:pStyle w:val="Heading1"/>
        <w:tabs>
          <w:tab w:val="left" w:pos="345"/>
        </w:tabs>
        <w:ind w:left="0"/>
        <w:rPr>
          <w:rFonts w:cs="Arial"/>
          <w:smallCaps/>
          <w:sz w:val="20"/>
          <w:szCs w:val="20"/>
        </w:rPr>
      </w:pPr>
      <w:r w:rsidRPr="006D2E4D">
        <w:rPr>
          <w:rFonts w:cs="Arial"/>
          <w:sz w:val="20"/>
          <w:szCs w:val="20"/>
        </w:rPr>
        <w:t>4.</w:t>
      </w:r>
      <w:r w:rsidRPr="006D2E4D">
        <w:rPr>
          <w:rFonts w:cs="Arial"/>
          <w:sz w:val="20"/>
          <w:szCs w:val="20"/>
        </w:rPr>
        <w:tab/>
      </w:r>
      <w:r w:rsidRPr="006D2E4D">
        <w:rPr>
          <w:rFonts w:cs="Arial"/>
          <w:sz w:val="20"/>
          <w:szCs w:val="20"/>
        </w:rPr>
        <w:tab/>
      </w:r>
      <w:r w:rsidRPr="006D2E4D">
        <w:rPr>
          <w:rFonts w:cs="Arial"/>
          <w:bCs w:val="0"/>
          <w:smallCaps/>
          <w:sz w:val="20"/>
          <w:szCs w:val="20"/>
        </w:rPr>
        <w:t>Service Availability Credit</w:t>
      </w:r>
    </w:p>
    <w:p w14:paraId="2BFD29D8" w14:textId="77777777" w:rsidR="00D41032" w:rsidRPr="006D2E4D" w:rsidRDefault="00D41032" w:rsidP="00D41032">
      <w:pPr>
        <w:pStyle w:val="Heading1"/>
        <w:tabs>
          <w:tab w:val="left" w:pos="3556"/>
        </w:tabs>
        <w:ind w:left="0"/>
        <w:rPr>
          <w:rFonts w:cs="Arial"/>
          <w:smallCaps/>
          <w:sz w:val="20"/>
          <w:szCs w:val="20"/>
        </w:rPr>
      </w:pPr>
      <w:r w:rsidRPr="006D2E4D">
        <w:rPr>
          <w:rFonts w:cs="Arial"/>
          <w:smallCaps/>
          <w:sz w:val="20"/>
          <w:szCs w:val="20"/>
        </w:rPr>
        <w:tab/>
      </w:r>
    </w:p>
    <w:p w14:paraId="2A3B0ACD" w14:textId="14BC4F62" w:rsidR="00D41032" w:rsidRPr="006D2E4D" w:rsidRDefault="00D41032" w:rsidP="00D41032">
      <w:pPr>
        <w:pStyle w:val="BodyText"/>
        <w:spacing w:line="251" w:lineRule="auto"/>
        <w:ind w:left="0" w:right="328"/>
        <w:rPr>
          <w:rFonts w:cs="Arial"/>
          <w:sz w:val="20"/>
          <w:szCs w:val="20"/>
        </w:rPr>
      </w:pPr>
      <w:r w:rsidRPr="006D2E4D">
        <w:rPr>
          <w:rFonts w:cs="Arial"/>
          <w:sz w:val="20"/>
          <w:szCs w:val="20"/>
        </w:rPr>
        <w:t xml:space="preserve">If Service Availability under Your Account for any monthly billing cycle falls below the level set forth above Section 3, </w:t>
      </w:r>
      <w:r w:rsidR="00D24B1A">
        <w:rPr>
          <w:rFonts w:cs="Arial"/>
          <w:bCs/>
          <w:sz w:val="20"/>
          <w:szCs w:val="20"/>
        </w:rPr>
        <w:t>Company</w:t>
      </w:r>
      <w:r w:rsidRPr="006D2E4D">
        <w:rPr>
          <w:rFonts w:cs="Arial"/>
          <w:sz w:val="20"/>
          <w:szCs w:val="20"/>
        </w:rPr>
        <w:t xml:space="preserve"> will issue a credit (</w:t>
      </w:r>
      <w:r w:rsidRPr="006D2E4D">
        <w:rPr>
          <w:rFonts w:cs="Arial"/>
          <w:b/>
          <w:sz w:val="20"/>
          <w:szCs w:val="20"/>
        </w:rPr>
        <w:t>“Service Availability Credit”</w:t>
      </w:r>
      <w:r w:rsidRPr="006D2E4D">
        <w:rPr>
          <w:rFonts w:cs="Arial"/>
          <w:sz w:val="20"/>
          <w:szCs w:val="20"/>
        </w:rPr>
        <w:t xml:space="preserve">). The credits will be verified for validity and will be subject to other conditions herein. The Service Availability Credit will be calculated at rates specified within the schedule </w:t>
      </w:r>
      <w:r>
        <w:rPr>
          <w:rFonts w:cs="Arial"/>
          <w:sz w:val="20"/>
          <w:szCs w:val="20"/>
        </w:rPr>
        <w:t>set forth below</w:t>
      </w:r>
      <w:r w:rsidRPr="006D2E4D">
        <w:rPr>
          <w:rFonts w:cs="Arial"/>
          <w:sz w:val="20"/>
          <w:szCs w:val="20"/>
        </w:rPr>
        <w:t>.</w:t>
      </w:r>
    </w:p>
    <w:p w14:paraId="361A3151" w14:textId="77777777" w:rsidR="00D41032" w:rsidRPr="006D2E4D" w:rsidRDefault="00D41032" w:rsidP="00D41032">
      <w:pPr>
        <w:pStyle w:val="BodyText"/>
        <w:spacing w:line="251" w:lineRule="auto"/>
        <w:ind w:left="720" w:right="328"/>
        <w:rPr>
          <w:rFonts w:cs="Arial"/>
          <w:sz w:val="20"/>
          <w:szCs w:val="20"/>
        </w:rPr>
      </w:pPr>
    </w:p>
    <w:p w14:paraId="25E2B7E9" w14:textId="2A945A07" w:rsidR="00D41032" w:rsidRPr="006D2E4D" w:rsidRDefault="00D41032" w:rsidP="00D41032">
      <w:pPr>
        <w:pStyle w:val="Heading1"/>
        <w:tabs>
          <w:tab w:val="left" w:pos="528"/>
        </w:tabs>
        <w:ind w:left="720"/>
        <w:rPr>
          <w:rFonts w:cs="Arial"/>
          <w:sz w:val="20"/>
          <w:szCs w:val="20"/>
        </w:rPr>
      </w:pPr>
      <w:r w:rsidRPr="006D2E4D">
        <w:rPr>
          <w:rFonts w:cs="Arial"/>
          <w:b w:val="0"/>
          <w:bCs w:val="0"/>
          <w:sz w:val="20"/>
          <w:szCs w:val="20"/>
        </w:rPr>
        <w:t>4.1.</w:t>
      </w:r>
      <w:r w:rsidRPr="006D2E4D">
        <w:rPr>
          <w:rFonts w:cs="Arial"/>
          <w:b w:val="0"/>
          <w:bCs w:val="0"/>
          <w:sz w:val="20"/>
          <w:szCs w:val="20"/>
        </w:rPr>
        <w:tab/>
      </w:r>
      <w:r w:rsidRPr="006D2E4D">
        <w:rPr>
          <w:rFonts w:cs="Arial"/>
          <w:b w:val="0"/>
          <w:bCs w:val="0"/>
          <w:sz w:val="20"/>
          <w:szCs w:val="20"/>
          <w:u w:val="single"/>
        </w:rPr>
        <w:t xml:space="preserve">Service </w:t>
      </w:r>
      <w:r w:rsidRPr="006D2E4D">
        <w:rPr>
          <w:rFonts w:cs="Arial"/>
          <w:b w:val="0"/>
          <w:sz w:val="20"/>
          <w:szCs w:val="20"/>
          <w:u w:val="single"/>
        </w:rPr>
        <w:t>A</w:t>
      </w:r>
      <w:r w:rsidRPr="006D2E4D">
        <w:rPr>
          <w:rFonts w:cs="Arial"/>
          <w:b w:val="0"/>
          <w:bCs w:val="0"/>
          <w:sz w:val="20"/>
          <w:szCs w:val="20"/>
          <w:u w:val="single"/>
        </w:rPr>
        <w:t xml:space="preserve">vailability </w:t>
      </w:r>
      <w:r w:rsidRPr="006D2E4D">
        <w:rPr>
          <w:rFonts w:cs="Arial"/>
          <w:b w:val="0"/>
          <w:sz w:val="20"/>
          <w:szCs w:val="20"/>
          <w:u w:val="single"/>
        </w:rPr>
        <w:t>C</w:t>
      </w:r>
      <w:r w:rsidRPr="006D2E4D">
        <w:rPr>
          <w:rFonts w:cs="Arial"/>
          <w:b w:val="0"/>
          <w:bCs w:val="0"/>
          <w:sz w:val="20"/>
          <w:szCs w:val="20"/>
          <w:u w:val="single"/>
        </w:rPr>
        <w:t xml:space="preserve">redit </w:t>
      </w:r>
      <w:r w:rsidRPr="006D2E4D">
        <w:rPr>
          <w:rFonts w:cs="Arial"/>
          <w:b w:val="0"/>
          <w:sz w:val="20"/>
          <w:szCs w:val="20"/>
          <w:u w:val="single"/>
        </w:rPr>
        <w:t>R</w:t>
      </w:r>
      <w:r w:rsidRPr="006D2E4D">
        <w:rPr>
          <w:rFonts w:cs="Arial"/>
          <w:b w:val="0"/>
          <w:bCs w:val="0"/>
          <w:sz w:val="20"/>
          <w:szCs w:val="20"/>
          <w:u w:val="single"/>
        </w:rPr>
        <w:t xml:space="preserve">equest and </w:t>
      </w:r>
      <w:r w:rsidRPr="006D2E4D">
        <w:rPr>
          <w:rFonts w:cs="Arial"/>
          <w:b w:val="0"/>
          <w:sz w:val="20"/>
          <w:szCs w:val="20"/>
          <w:u w:val="single"/>
        </w:rPr>
        <w:t>P</w:t>
      </w:r>
      <w:r w:rsidRPr="006D2E4D">
        <w:rPr>
          <w:rFonts w:cs="Arial"/>
          <w:b w:val="0"/>
          <w:bCs w:val="0"/>
          <w:sz w:val="20"/>
          <w:szCs w:val="20"/>
          <w:u w:val="single"/>
        </w:rPr>
        <w:t xml:space="preserve">ayment </w:t>
      </w:r>
      <w:r w:rsidRPr="006D2E4D">
        <w:rPr>
          <w:rFonts w:cs="Arial"/>
          <w:b w:val="0"/>
          <w:sz w:val="20"/>
          <w:szCs w:val="20"/>
          <w:u w:val="single"/>
        </w:rPr>
        <w:t>P</w:t>
      </w:r>
      <w:r w:rsidRPr="006D2E4D">
        <w:rPr>
          <w:rFonts w:cs="Arial"/>
          <w:b w:val="0"/>
          <w:bCs w:val="0"/>
          <w:sz w:val="20"/>
          <w:szCs w:val="20"/>
          <w:u w:val="single"/>
        </w:rPr>
        <w:t>rocedures</w:t>
      </w:r>
      <w:r w:rsidRPr="006D2E4D">
        <w:rPr>
          <w:rFonts w:cs="Arial"/>
          <w:b w:val="0"/>
          <w:sz w:val="20"/>
          <w:szCs w:val="20"/>
        </w:rPr>
        <w:t xml:space="preserve">. To request a Service Availability Credit, (a) Your Account must be in good standing with </w:t>
      </w:r>
      <w:r w:rsidR="00D24B1A">
        <w:rPr>
          <w:rFonts w:cs="Arial"/>
          <w:b w:val="0"/>
          <w:sz w:val="20"/>
          <w:szCs w:val="20"/>
        </w:rPr>
        <w:t>Company</w:t>
      </w:r>
      <w:r w:rsidRPr="006D2E4D">
        <w:rPr>
          <w:rFonts w:cs="Arial"/>
          <w:b w:val="0"/>
          <w:sz w:val="20"/>
          <w:szCs w:val="20"/>
        </w:rPr>
        <w:t xml:space="preserve">, (b) You must open a technical support ticket </w:t>
      </w:r>
      <w:r>
        <w:rPr>
          <w:rFonts w:cs="Arial"/>
          <w:b w:val="0"/>
          <w:sz w:val="20"/>
          <w:szCs w:val="20"/>
        </w:rPr>
        <w:t xml:space="preserve">with </w:t>
      </w:r>
      <w:r w:rsidR="00D24B1A">
        <w:rPr>
          <w:rFonts w:cs="Arial"/>
          <w:b w:val="0"/>
          <w:sz w:val="20"/>
          <w:szCs w:val="20"/>
        </w:rPr>
        <w:t>Company</w:t>
      </w:r>
      <w:r>
        <w:rPr>
          <w:rFonts w:cs="Arial"/>
          <w:b w:val="0"/>
          <w:sz w:val="20"/>
          <w:szCs w:val="20"/>
        </w:rPr>
        <w:t xml:space="preserve"> to </w:t>
      </w:r>
      <w:r w:rsidRPr="006D2E4D">
        <w:rPr>
          <w:rFonts w:cs="Arial"/>
          <w:b w:val="0"/>
          <w:sz w:val="20"/>
          <w:szCs w:val="20"/>
        </w:rPr>
        <w:t xml:space="preserve">report an apparent </w:t>
      </w:r>
      <w:r>
        <w:rPr>
          <w:rFonts w:cs="Arial"/>
          <w:b w:val="0"/>
          <w:sz w:val="20"/>
          <w:szCs w:val="20"/>
        </w:rPr>
        <w:t>Contact Center</w:t>
      </w:r>
      <w:r w:rsidRPr="006D2E4D">
        <w:rPr>
          <w:rFonts w:cs="Arial"/>
          <w:b w:val="0"/>
          <w:sz w:val="20"/>
          <w:szCs w:val="20"/>
        </w:rPr>
        <w:t xml:space="preserve"> Service interruption within seventy-two (72) hours of the event, and (c) You must send an email or written Service Availability Credit request to </w:t>
      </w:r>
      <w:r w:rsidR="00B96329">
        <w:rPr>
          <w:rFonts w:cs="Arial"/>
          <w:b w:val="0"/>
          <w:sz w:val="20"/>
          <w:szCs w:val="20"/>
        </w:rPr>
        <w:t>Company’s</w:t>
      </w:r>
      <w:r w:rsidRPr="006D2E4D">
        <w:rPr>
          <w:rFonts w:cs="Arial"/>
          <w:b w:val="0"/>
          <w:sz w:val="20"/>
          <w:szCs w:val="20"/>
        </w:rPr>
        <w:t xml:space="preserve"> billing department </w:t>
      </w:r>
      <w:r w:rsidR="00B96329">
        <w:rPr>
          <w:rFonts w:cs="Arial"/>
          <w:b w:val="0"/>
          <w:sz w:val="20"/>
          <w:szCs w:val="20"/>
        </w:rPr>
        <w:t>(</w:t>
      </w:r>
      <w:r w:rsidR="00CF2812">
        <w:rPr>
          <w:rFonts w:cs="Arial"/>
          <w:b w:val="0"/>
          <w:sz w:val="20"/>
          <w:szCs w:val="20"/>
        </w:rPr>
        <w:t>[COP URL]</w:t>
      </w:r>
      <w:r w:rsidR="00E858CA">
        <w:rPr>
          <w:rFonts w:cs="Arial"/>
          <w:b w:val="0"/>
          <w:sz w:val="20"/>
          <w:szCs w:val="20"/>
        </w:rPr>
        <w:t>,</w:t>
      </w:r>
      <w:r w:rsidR="001B622D">
        <w:rPr>
          <w:rFonts w:cs="Arial"/>
          <w:b w:val="0"/>
          <w:sz w:val="20"/>
          <w:szCs w:val="20"/>
        </w:rPr>
        <w:t xml:space="preserve">) </w:t>
      </w:r>
      <w:r w:rsidR="00085395">
        <w:rPr>
          <w:rFonts w:cs="Arial"/>
          <w:b w:val="0"/>
          <w:sz w:val="20"/>
          <w:szCs w:val="20"/>
        </w:rPr>
        <w:t xml:space="preserve"> </w:t>
      </w:r>
      <w:r w:rsidRPr="006D2E4D">
        <w:rPr>
          <w:rFonts w:cs="Arial"/>
          <w:b w:val="0"/>
          <w:sz w:val="20"/>
          <w:szCs w:val="20"/>
        </w:rPr>
        <w:t>in the month immediately following the month for which You are requesting a Service Availability Credit. Service Availability Credit requests must include Your Account name or Account number and the dates and specific times for which You are requesting Service Availability Credits.</w:t>
      </w:r>
    </w:p>
    <w:p w14:paraId="05B62410" w14:textId="77777777" w:rsidR="00D41032" w:rsidRPr="006D2E4D" w:rsidRDefault="00D41032" w:rsidP="00D41032">
      <w:pPr>
        <w:spacing w:before="16" w:line="240" w:lineRule="exact"/>
        <w:rPr>
          <w:rFonts w:ascii="Arial" w:hAnsi="Arial" w:cs="Arial"/>
          <w:sz w:val="20"/>
          <w:szCs w:val="20"/>
        </w:rPr>
      </w:pPr>
    </w:p>
    <w:p w14:paraId="3792390E" w14:textId="4E79552C" w:rsidR="00D41032" w:rsidRPr="006D2E4D" w:rsidRDefault="00885E34" w:rsidP="00D41032">
      <w:pPr>
        <w:pStyle w:val="BodyText"/>
        <w:spacing w:line="251" w:lineRule="auto"/>
        <w:ind w:left="720" w:right="167"/>
        <w:rPr>
          <w:rFonts w:cs="Arial"/>
          <w:sz w:val="20"/>
          <w:szCs w:val="20"/>
        </w:rPr>
      </w:pPr>
      <w:r>
        <w:rPr>
          <w:rFonts w:cs="Arial"/>
          <w:bCs/>
          <w:sz w:val="20"/>
          <w:szCs w:val="20"/>
        </w:rPr>
        <w:t>Company</w:t>
      </w:r>
      <w:r w:rsidR="00D41032" w:rsidRPr="006D2E4D">
        <w:rPr>
          <w:rFonts w:cs="Arial"/>
          <w:bCs/>
          <w:sz w:val="20"/>
          <w:szCs w:val="20"/>
        </w:rPr>
        <w:t xml:space="preserve"> will compare information provided by </w:t>
      </w:r>
      <w:r w:rsidR="00D41032" w:rsidRPr="006D2E4D">
        <w:rPr>
          <w:rFonts w:cs="Arial"/>
          <w:sz w:val="20"/>
          <w:szCs w:val="20"/>
        </w:rPr>
        <w:t>You</w:t>
      </w:r>
      <w:r w:rsidR="00D41032" w:rsidRPr="006D2E4D">
        <w:rPr>
          <w:rFonts w:cs="Arial"/>
          <w:bCs/>
          <w:sz w:val="20"/>
          <w:szCs w:val="20"/>
        </w:rPr>
        <w:t xml:space="preserve"> to the data referenced in Section</w:t>
      </w:r>
      <w:r w:rsidR="00D41032">
        <w:rPr>
          <w:rFonts w:cs="Arial"/>
          <w:bCs/>
          <w:sz w:val="20"/>
          <w:szCs w:val="20"/>
        </w:rPr>
        <w:t> </w:t>
      </w:r>
      <w:r w:rsidR="00D41032" w:rsidRPr="006D2E4D">
        <w:rPr>
          <w:rFonts w:cs="Arial"/>
          <w:sz w:val="20"/>
          <w:szCs w:val="20"/>
        </w:rPr>
        <w:t>3</w:t>
      </w:r>
      <w:r w:rsidR="00D41032" w:rsidRPr="006D2E4D">
        <w:rPr>
          <w:rFonts w:cs="Arial"/>
          <w:bCs/>
          <w:sz w:val="20"/>
          <w:szCs w:val="20"/>
        </w:rPr>
        <w:t xml:space="preserve"> above. A Service Availability Credit will be issued only if </w:t>
      </w:r>
      <w:r>
        <w:rPr>
          <w:rFonts w:cs="Arial"/>
          <w:bCs/>
          <w:sz w:val="20"/>
          <w:szCs w:val="20"/>
        </w:rPr>
        <w:t>Company</w:t>
      </w:r>
      <w:r w:rsidR="00D41032">
        <w:rPr>
          <w:rFonts w:cs="Arial"/>
          <w:bCs/>
          <w:sz w:val="20"/>
          <w:szCs w:val="20"/>
        </w:rPr>
        <w:t xml:space="preserve"> </w:t>
      </w:r>
      <w:r w:rsidR="00D41032" w:rsidRPr="006D2E4D">
        <w:rPr>
          <w:rFonts w:cs="Arial"/>
          <w:bCs/>
          <w:sz w:val="20"/>
          <w:szCs w:val="20"/>
        </w:rPr>
        <w:t xml:space="preserve">confirms from such data that a Service Availability Credit is available. </w:t>
      </w:r>
      <w:r>
        <w:rPr>
          <w:rFonts w:cs="Arial"/>
          <w:bCs/>
          <w:sz w:val="20"/>
          <w:szCs w:val="20"/>
        </w:rPr>
        <w:t>Company</w:t>
      </w:r>
      <w:r w:rsidR="00D41032" w:rsidRPr="006D2E4D">
        <w:rPr>
          <w:rFonts w:cs="Arial"/>
          <w:bCs/>
          <w:sz w:val="20"/>
          <w:szCs w:val="20"/>
        </w:rPr>
        <w:t xml:space="preserve"> will calculate the Service Availability Credit based on the type of </w:t>
      </w:r>
      <w:proofErr w:type="gramStart"/>
      <w:r w:rsidR="00D41032" w:rsidRPr="006D2E4D">
        <w:rPr>
          <w:rFonts w:cs="Arial"/>
          <w:bCs/>
          <w:sz w:val="20"/>
          <w:szCs w:val="20"/>
        </w:rPr>
        <w:t xml:space="preserve">particular </w:t>
      </w:r>
      <w:r w:rsidR="00D41032" w:rsidRPr="005D5E59">
        <w:rPr>
          <w:rFonts w:cs="Arial"/>
          <w:bCs/>
          <w:sz w:val="20"/>
          <w:szCs w:val="20"/>
        </w:rPr>
        <w:t>Contact</w:t>
      </w:r>
      <w:proofErr w:type="gramEnd"/>
      <w:r w:rsidR="00D41032" w:rsidRPr="005D5E59">
        <w:rPr>
          <w:rFonts w:cs="Arial"/>
          <w:bCs/>
          <w:sz w:val="20"/>
          <w:szCs w:val="20"/>
        </w:rPr>
        <w:t xml:space="preserve"> Center</w:t>
      </w:r>
      <w:r w:rsidR="00D41032" w:rsidRPr="006D2E4D">
        <w:rPr>
          <w:rFonts w:cs="Arial"/>
          <w:bCs/>
          <w:sz w:val="20"/>
          <w:szCs w:val="20"/>
        </w:rPr>
        <w:t xml:space="preserve"> Service for which Service Availability was below the prescribed level, the fees for the particular </w:t>
      </w:r>
      <w:r w:rsidR="00D41032" w:rsidRPr="005D5E59">
        <w:rPr>
          <w:rFonts w:cs="Arial"/>
          <w:bCs/>
          <w:sz w:val="20"/>
          <w:szCs w:val="20"/>
        </w:rPr>
        <w:t>Contact Center</w:t>
      </w:r>
      <w:r w:rsidR="00D41032" w:rsidRPr="006D2E4D">
        <w:rPr>
          <w:rFonts w:cs="Arial"/>
          <w:sz w:val="20"/>
          <w:szCs w:val="20"/>
        </w:rPr>
        <w:t xml:space="preserve"> </w:t>
      </w:r>
      <w:r w:rsidR="00D41032">
        <w:rPr>
          <w:rFonts w:cs="Arial"/>
          <w:bCs/>
          <w:sz w:val="20"/>
          <w:szCs w:val="20"/>
        </w:rPr>
        <w:t xml:space="preserve">Service </w:t>
      </w:r>
      <w:r w:rsidR="00D41032" w:rsidRPr="006D2E4D">
        <w:rPr>
          <w:rFonts w:cs="Arial"/>
          <w:bCs/>
          <w:sz w:val="20"/>
          <w:szCs w:val="20"/>
        </w:rPr>
        <w:t xml:space="preserve">and the percentage of overall individual </w:t>
      </w:r>
      <w:r w:rsidR="00D41032" w:rsidRPr="005D5E59">
        <w:rPr>
          <w:rFonts w:cs="Arial"/>
          <w:bCs/>
          <w:sz w:val="20"/>
          <w:szCs w:val="20"/>
        </w:rPr>
        <w:t>Contact Center</w:t>
      </w:r>
      <w:r w:rsidR="00D41032" w:rsidRPr="006D2E4D">
        <w:rPr>
          <w:rFonts w:cs="Arial"/>
          <w:sz w:val="20"/>
          <w:szCs w:val="20"/>
        </w:rPr>
        <w:t xml:space="preserve"> </w:t>
      </w:r>
      <w:r w:rsidR="00D41032">
        <w:rPr>
          <w:rFonts w:cs="Arial"/>
          <w:bCs/>
          <w:sz w:val="20"/>
          <w:szCs w:val="20"/>
        </w:rPr>
        <w:t xml:space="preserve">Service </w:t>
      </w:r>
      <w:r w:rsidR="00D41032" w:rsidRPr="006D2E4D">
        <w:rPr>
          <w:rFonts w:cs="Arial"/>
          <w:bCs/>
          <w:sz w:val="20"/>
          <w:szCs w:val="20"/>
        </w:rPr>
        <w:t>affected.</w:t>
      </w:r>
    </w:p>
    <w:p w14:paraId="7FA38D3F" w14:textId="77777777" w:rsidR="00D41032" w:rsidRPr="006D2E4D" w:rsidRDefault="00D41032" w:rsidP="00D41032">
      <w:pPr>
        <w:pStyle w:val="BodyText"/>
        <w:spacing w:line="251" w:lineRule="auto"/>
        <w:ind w:right="167"/>
        <w:rPr>
          <w:rFonts w:cs="Arial"/>
          <w:sz w:val="20"/>
          <w:szCs w:val="20"/>
        </w:rPr>
      </w:pPr>
    </w:p>
    <w:p w14:paraId="406EAECF" w14:textId="1FC551A0" w:rsidR="00D41032" w:rsidRPr="006D2E4D" w:rsidRDefault="00D41032" w:rsidP="00D41032">
      <w:pPr>
        <w:pStyle w:val="BodyText"/>
        <w:spacing w:line="251" w:lineRule="auto"/>
        <w:ind w:left="720" w:right="167"/>
        <w:rPr>
          <w:rFonts w:cs="Arial"/>
          <w:sz w:val="20"/>
          <w:szCs w:val="20"/>
        </w:rPr>
      </w:pPr>
      <w:r w:rsidRPr="006D2E4D">
        <w:rPr>
          <w:rFonts w:cs="Arial"/>
          <w:sz w:val="20"/>
          <w:szCs w:val="20"/>
        </w:rPr>
        <w:t>4.2.</w:t>
      </w:r>
      <w:r w:rsidRPr="006D2E4D">
        <w:rPr>
          <w:rFonts w:cs="Arial"/>
          <w:sz w:val="20"/>
          <w:szCs w:val="20"/>
        </w:rPr>
        <w:tab/>
        <w:t xml:space="preserve"> </w:t>
      </w:r>
      <w:r w:rsidRPr="00FB3EC5">
        <w:rPr>
          <w:rFonts w:cs="Arial"/>
          <w:sz w:val="20"/>
          <w:szCs w:val="20"/>
          <w:u w:val="single"/>
        </w:rPr>
        <w:t xml:space="preserve">Service Availability Credit Calculation; </w:t>
      </w:r>
      <w:r w:rsidRPr="006D2E4D">
        <w:rPr>
          <w:rFonts w:cs="Arial"/>
          <w:sz w:val="20"/>
          <w:szCs w:val="20"/>
          <w:u w:val="single"/>
        </w:rPr>
        <w:t>Limits on Service Availability Credit</w:t>
      </w:r>
      <w:r>
        <w:rPr>
          <w:rFonts w:cs="Arial"/>
          <w:sz w:val="20"/>
          <w:szCs w:val="20"/>
          <w:u w:val="single"/>
        </w:rPr>
        <w:t>;</w:t>
      </w:r>
      <w:r w:rsidRPr="006D2E4D">
        <w:rPr>
          <w:rFonts w:cs="Arial"/>
          <w:sz w:val="20"/>
          <w:szCs w:val="20"/>
          <w:u w:val="single"/>
        </w:rPr>
        <w:t xml:space="preserve"> Sole and Exclusive Remed</w:t>
      </w:r>
      <w:r>
        <w:rPr>
          <w:rFonts w:cs="Arial"/>
          <w:sz w:val="20"/>
          <w:szCs w:val="20"/>
          <w:u w:val="single"/>
        </w:rPr>
        <w:t>y</w:t>
      </w:r>
      <w:r w:rsidRPr="00FB3EC5">
        <w:rPr>
          <w:rFonts w:cs="Arial"/>
          <w:sz w:val="20"/>
          <w:szCs w:val="20"/>
        </w:rPr>
        <w:t>.</w:t>
      </w:r>
      <w:r w:rsidRPr="006D2E4D">
        <w:rPr>
          <w:rFonts w:cs="Arial"/>
          <w:sz w:val="20"/>
          <w:szCs w:val="20"/>
        </w:rPr>
        <w:t xml:space="preserve"> Subject to Your valid submission of a Service Availability Credit request and the other conditions herein, if Service Availability under Your Account for any calendar month is below 99.999%, </w:t>
      </w:r>
      <w:r w:rsidR="00BA2DEB">
        <w:rPr>
          <w:rFonts w:cs="Arial"/>
          <w:bCs/>
          <w:sz w:val="20"/>
          <w:szCs w:val="20"/>
        </w:rPr>
        <w:t>Company</w:t>
      </w:r>
      <w:r w:rsidRPr="006D2E4D">
        <w:rPr>
          <w:rFonts w:cs="Arial"/>
          <w:sz w:val="20"/>
          <w:szCs w:val="20"/>
        </w:rPr>
        <w:t xml:space="preserve"> will issue a credit in accordance with the following schedule:</w:t>
      </w:r>
    </w:p>
    <w:tbl>
      <w:tblPr>
        <w:tblpPr w:leftFromText="180" w:rightFromText="180" w:vertAnchor="text" w:horzAnchor="margin" w:tblpXSpec="center" w:tblpY="137"/>
        <w:tblOverlap w:val="never"/>
        <w:tblW w:w="0" w:type="auto"/>
        <w:tblLayout w:type="fixed"/>
        <w:tblCellMar>
          <w:left w:w="0" w:type="dxa"/>
          <w:right w:w="0" w:type="dxa"/>
        </w:tblCellMar>
        <w:tblLook w:val="01E0" w:firstRow="1" w:lastRow="1" w:firstColumn="1" w:lastColumn="1" w:noHBand="0" w:noVBand="0"/>
      </w:tblPr>
      <w:tblGrid>
        <w:gridCol w:w="2784"/>
        <w:gridCol w:w="4950"/>
      </w:tblGrid>
      <w:tr w:rsidR="00D41032" w:rsidRPr="006D2E4D" w14:paraId="7E8216C0" w14:textId="77777777" w:rsidTr="001F26FA">
        <w:trPr>
          <w:trHeight w:hRule="exact" w:val="514"/>
        </w:trPr>
        <w:tc>
          <w:tcPr>
            <w:tcW w:w="2784" w:type="dxa"/>
            <w:tcBorders>
              <w:top w:val="single" w:sz="5" w:space="0" w:color="000000"/>
              <w:left w:val="single" w:sz="5" w:space="0" w:color="000000"/>
              <w:bottom w:val="single" w:sz="5" w:space="0" w:color="000000"/>
              <w:right w:val="single" w:sz="5" w:space="0" w:color="000000"/>
            </w:tcBorders>
            <w:shd w:val="clear" w:color="auto" w:fill="D9D9D9"/>
          </w:tcPr>
          <w:p w14:paraId="71351E07" w14:textId="77777777" w:rsidR="00D41032" w:rsidRPr="006D2E4D" w:rsidRDefault="00D41032" w:rsidP="001F26FA">
            <w:pPr>
              <w:pStyle w:val="TableParagraph"/>
              <w:spacing w:before="3"/>
              <w:ind w:left="474"/>
              <w:rPr>
                <w:rFonts w:ascii="Arial" w:eastAsia="Arial" w:hAnsi="Arial" w:cs="Arial"/>
                <w:sz w:val="20"/>
                <w:szCs w:val="20"/>
              </w:rPr>
            </w:pPr>
            <w:r w:rsidRPr="006D2E4D">
              <w:rPr>
                <w:rFonts w:ascii="Arial" w:hAnsi="Arial" w:cs="Arial"/>
                <w:sz w:val="20"/>
                <w:szCs w:val="20"/>
              </w:rPr>
              <w:t>Service Availability</w:t>
            </w:r>
          </w:p>
        </w:tc>
        <w:tc>
          <w:tcPr>
            <w:tcW w:w="4950" w:type="dxa"/>
            <w:tcBorders>
              <w:top w:val="single" w:sz="5" w:space="0" w:color="000000"/>
              <w:left w:val="single" w:sz="5" w:space="0" w:color="000000"/>
              <w:bottom w:val="single" w:sz="5" w:space="0" w:color="000000"/>
              <w:right w:val="single" w:sz="5" w:space="0" w:color="000000"/>
            </w:tcBorders>
            <w:shd w:val="clear" w:color="auto" w:fill="D9D9D9"/>
          </w:tcPr>
          <w:p w14:paraId="1DCDE2CA" w14:textId="77777777" w:rsidR="00D41032" w:rsidRPr="006D2E4D" w:rsidRDefault="00D41032" w:rsidP="001F26FA">
            <w:pPr>
              <w:pStyle w:val="TableParagraph"/>
              <w:spacing w:before="3" w:line="247" w:lineRule="auto"/>
              <w:jc w:val="center"/>
              <w:rPr>
                <w:rFonts w:ascii="Arial" w:eastAsia="Arial" w:hAnsi="Arial" w:cs="Arial"/>
                <w:sz w:val="20"/>
                <w:szCs w:val="20"/>
              </w:rPr>
            </w:pPr>
            <w:r w:rsidRPr="006D2E4D">
              <w:rPr>
                <w:rFonts w:ascii="Arial" w:hAnsi="Arial" w:cs="Arial"/>
                <w:sz w:val="20"/>
                <w:szCs w:val="20"/>
              </w:rPr>
              <w:t xml:space="preserve">Amount of the credit as a percentage of monthly fee for </w:t>
            </w:r>
            <w:r w:rsidRPr="00C54995">
              <w:rPr>
                <w:rFonts w:ascii="Arial" w:hAnsi="Arial" w:cs="Arial"/>
                <w:sz w:val="20"/>
                <w:szCs w:val="20"/>
              </w:rPr>
              <w:t xml:space="preserve">affected </w:t>
            </w:r>
            <w:r w:rsidRPr="00596824">
              <w:rPr>
                <w:rFonts w:ascii="Arial" w:hAnsi="Arial" w:cs="Arial"/>
                <w:bCs/>
                <w:sz w:val="20"/>
                <w:szCs w:val="20"/>
              </w:rPr>
              <w:t>Contact Center</w:t>
            </w:r>
            <w:r w:rsidRPr="006D2E4D">
              <w:rPr>
                <w:rFonts w:cs="Arial"/>
                <w:sz w:val="20"/>
                <w:szCs w:val="20"/>
              </w:rPr>
              <w:t xml:space="preserve"> </w:t>
            </w:r>
            <w:r w:rsidRPr="006D2E4D">
              <w:rPr>
                <w:rFonts w:ascii="Arial" w:hAnsi="Arial" w:cs="Arial"/>
                <w:sz w:val="20"/>
                <w:szCs w:val="20"/>
              </w:rPr>
              <w:t>Service</w:t>
            </w:r>
          </w:p>
        </w:tc>
      </w:tr>
      <w:tr w:rsidR="00D41032" w:rsidRPr="006D2E4D" w14:paraId="744D842E" w14:textId="77777777" w:rsidTr="001F26FA">
        <w:trPr>
          <w:trHeight w:hRule="exact" w:val="302"/>
        </w:trPr>
        <w:tc>
          <w:tcPr>
            <w:tcW w:w="2784" w:type="dxa"/>
            <w:tcBorders>
              <w:top w:val="single" w:sz="5" w:space="0" w:color="000000"/>
              <w:left w:val="single" w:sz="5" w:space="0" w:color="000000"/>
              <w:bottom w:val="single" w:sz="5" w:space="0" w:color="000000"/>
              <w:right w:val="single" w:sz="5" w:space="0" w:color="000000"/>
            </w:tcBorders>
          </w:tcPr>
          <w:p w14:paraId="5FAFCCDE" w14:textId="77777777" w:rsidR="00D41032" w:rsidRPr="006D2E4D" w:rsidRDefault="00D41032" w:rsidP="001F26FA">
            <w:pPr>
              <w:pStyle w:val="TableParagraph"/>
              <w:spacing w:before="3"/>
              <w:jc w:val="center"/>
              <w:rPr>
                <w:rFonts w:ascii="Arial" w:eastAsia="Arial" w:hAnsi="Arial" w:cs="Arial"/>
                <w:sz w:val="20"/>
                <w:szCs w:val="20"/>
              </w:rPr>
            </w:pPr>
            <w:r w:rsidRPr="006D2E4D">
              <w:rPr>
                <w:rFonts w:ascii="Arial" w:hAnsi="Arial" w:cs="Arial"/>
                <w:sz w:val="20"/>
                <w:szCs w:val="20"/>
              </w:rPr>
              <w:t>99.0% to 99.999%</w:t>
            </w:r>
          </w:p>
        </w:tc>
        <w:tc>
          <w:tcPr>
            <w:tcW w:w="4950" w:type="dxa"/>
            <w:tcBorders>
              <w:top w:val="single" w:sz="5" w:space="0" w:color="000000"/>
              <w:left w:val="single" w:sz="5" w:space="0" w:color="000000"/>
              <w:bottom w:val="single" w:sz="5" w:space="0" w:color="000000"/>
              <w:right w:val="single" w:sz="5" w:space="0" w:color="000000"/>
            </w:tcBorders>
          </w:tcPr>
          <w:p w14:paraId="76534A12" w14:textId="77777777" w:rsidR="00D41032" w:rsidRPr="006D2E4D" w:rsidRDefault="00D41032" w:rsidP="001F26FA">
            <w:pPr>
              <w:pStyle w:val="TableParagraph"/>
              <w:spacing w:before="1" w:line="290" w:lineRule="exact"/>
              <w:jc w:val="center"/>
              <w:rPr>
                <w:rFonts w:ascii="Arial" w:eastAsia="Calibri" w:hAnsi="Arial" w:cs="Arial"/>
                <w:sz w:val="20"/>
                <w:szCs w:val="20"/>
              </w:rPr>
            </w:pPr>
            <w:r w:rsidRPr="006D2E4D">
              <w:rPr>
                <w:rFonts w:ascii="Arial" w:hAnsi="Arial" w:cs="Arial"/>
                <w:sz w:val="20"/>
                <w:szCs w:val="20"/>
              </w:rPr>
              <w:t>3% of monthly fee credited</w:t>
            </w:r>
          </w:p>
        </w:tc>
      </w:tr>
      <w:tr w:rsidR="00D41032" w:rsidRPr="006D2E4D" w14:paraId="3C2E0A27" w14:textId="77777777" w:rsidTr="001F26FA">
        <w:trPr>
          <w:trHeight w:hRule="exact" w:val="302"/>
        </w:trPr>
        <w:tc>
          <w:tcPr>
            <w:tcW w:w="2784" w:type="dxa"/>
            <w:tcBorders>
              <w:top w:val="single" w:sz="5" w:space="0" w:color="000000"/>
              <w:left w:val="single" w:sz="5" w:space="0" w:color="000000"/>
              <w:bottom w:val="single" w:sz="5" w:space="0" w:color="000000"/>
              <w:right w:val="single" w:sz="5" w:space="0" w:color="000000"/>
            </w:tcBorders>
          </w:tcPr>
          <w:p w14:paraId="5CD4CB6D" w14:textId="77777777" w:rsidR="00D41032" w:rsidRPr="006D2E4D" w:rsidRDefault="00D41032" w:rsidP="001F26FA">
            <w:pPr>
              <w:pStyle w:val="TableParagraph"/>
              <w:spacing w:before="3"/>
              <w:jc w:val="center"/>
              <w:rPr>
                <w:rFonts w:ascii="Arial" w:eastAsia="Arial" w:hAnsi="Arial" w:cs="Arial"/>
                <w:sz w:val="20"/>
                <w:szCs w:val="20"/>
              </w:rPr>
            </w:pPr>
            <w:r w:rsidRPr="006D2E4D">
              <w:rPr>
                <w:rFonts w:ascii="Arial" w:hAnsi="Arial" w:cs="Arial"/>
                <w:sz w:val="20"/>
                <w:szCs w:val="20"/>
              </w:rPr>
              <w:t>98.0% to 98.99%</w:t>
            </w:r>
          </w:p>
        </w:tc>
        <w:tc>
          <w:tcPr>
            <w:tcW w:w="4950" w:type="dxa"/>
            <w:tcBorders>
              <w:top w:val="single" w:sz="5" w:space="0" w:color="000000"/>
              <w:left w:val="single" w:sz="5" w:space="0" w:color="000000"/>
              <w:bottom w:val="single" w:sz="5" w:space="0" w:color="000000"/>
              <w:right w:val="single" w:sz="5" w:space="0" w:color="000000"/>
            </w:tcBorders>
          </w:tcPr>
          <w:p w14:paraId="6A8CF208" w14:textId="77777777" w:rsidR="00D41032" w:rsidRPr="006D2E4D" w:rsidRDefault="00D41032" w:rsidP="001F26FA">
            <w:pPr>
              <w:pStyle w:val="TableParagraph"/>
              <w:spacing w:before="1" w:line="290" w:lineRule="exact"/>
              <w:jc w:val="center"/>
              <w:rPr>
                <w:rFonts w:ascii="Arial" w:eastAsia="Calibri" w:hAnsi="Arial" w:cs="Arial"/>
                <w:sz w:val="20"/>
                <w:szCs w:val="20"/>
              </w:rPr>
            </w:pPr>
            <w:r w:rsidRPr="006D2E4D">
              <w:rPr>
                <w:rFonts w:ascii="Arial" w:hAnsi="Arial" w:cs="Arial"/>
                <w:sz w:val="20"/>
                <w:szCs w:val="20"/>
              </w:rPr>
              <w:t>5% of monthly fee credited</w:t>
            </w:r>
          </w:p>
        </w:tc>
      </w:tr>
      <w:tr w:rsidR="00D41032" w:rsidRPr="006D2E4D" w14:paraId="157A69DA" w14:textId="77777777" w:rsidTr="001F26FA">
        <w:trPr>
          <w:trHeight w:hRule="exact" w:val="307"/>
        </w:trPr>
        <w:tc>
          <w:tcPr>
            <w:tcW w:w="2784" w:type="dxa"/>
            <w:tcBorders>
              <w:top w:val="single" w:sz="5" w:space="0" w:color="000000"/>
              <w:left w:val="single" w:sz="5" w:space="0" w:color="000000"/>
              <w:bottom w:val="single" w:sz="5" w:space="0" w:color="000000"/>
              <w:right w:val="single" w:sz="5" w:space="0" w:color="000000"/>
            </w:tcBorders>
          </w:tcPr>
          <w:p w14:paraId="4D484D90" w14:textId="77777777" w:rsidR="00D41032" w:rsidRPr="006D2E4D" w:rsidRDefault="00D41032" w:rsidP="001F26FA">
            <w:pPr>
              <w:pStyle w:val="TableParagraph"/>
              <w:spacing w:before="3"/>
              <w:jc w:val="center"/>
              <w:rPr>
                <w:rFonts w:ascii="Arial" w:eastAsia="Arial" w:hAnsi="Arial" w:cs="Arial"/>
                <w:sz w:val="20"/>
                <w:szCs w:val="20"/>
              </w:rPr>
            </w:pPr>
            <w:r w:rsidRPr="006D2E4D">
              <w:rPr>
                <w:rFonts w:ascii="Arial" w:hAnsi="Arial" w:cs="Arial"/>
                <w:sz w:val="20"/>
                <w:szCs w:val="20"/>
              </w:rPr>
              <w:t>95.0% to 97.99%</w:t>
            </w:r>
          </w:p>
        </w:tc>
        <w:tc>
          <w:tcPr>
            <w:tcW w:w="4950" w:type="dxa"/>
            <w:tcBorders>
              <w:top w:val="single" w:sz="5" w:space="0" w:color="000000"/>
              <w:left w:val="single" w:sz="5" w:space="0" w:color="000000"/>
              <w:bottom w:val="single" w:sz="5" w:space="0" w:color="000000"/>
              <w:right w:val="single" w:sz="5" w:space="0" w:color="000000"/>
            </w:tcBorders>
          </w:tcPr>
          <w:p w14:paraId="69D46D85" w14:textId="77777777" w:rsidR="00D41032" w:rsidRPr="006D2E4D" w:rsidRDefault="00D41032" w:rsidP="001F26FA">
            <w:pPr>
              <w:pStyle w:val="TableParagraph"/>
              <w:spacing w:before="1"/>
              <w:jc w:val="center"/>
              <w:rPr>
                <w:rFonts w:ascii="Arial" w:eastAsia="Calibri" w:hAnsi="Arial" w:cs="Arial"/>
                <w:sz w:val="20"/>
                <w:szCs w:val="20"/>
              </w:rPr>
            </w:pPr>
            <w:r w:rsidRPr="006D2E4D">
              <w:rPr>
                <w:rFonts w:ascii="Arial" w:hAnsi="Arial" w:cs="Arial"/>
                <w:sz w:val="20"/>
                <w:szCs w:val="20"/>
              </w:rPr>
              <w:t>10% of monthly fee credited</w:t>
            </w:r>
          </w:p>
        </w:tc>
      </w:tr>
      <w:tr w:rsidR="00D41032" w:rsidRPr="006D2E4D" w14:paraId="5004B8E7" w14:textId="77777777" w:rsidTr="001F26FA">
        <w:trPr>
          <w:trHeight w:hRule="exact" w:val="307"/>
        </w:trPr>
        <w:tc>
          <w:tcPr>
            <w:tcW w:w="2784" w:type="dxa"/>
            <w:tcBorders>
              <w:top w:val="single" w:sz="5" w:space="0" w:color="000000"/>
              <w:left w:val="single" w:sz="5" w:space="0" w:color="000000"/>
              <w:bottom w:val="single" w:sz="5" w:space="0" w:color="000000"/>
              <w:right w:val="single" w:sz="5" w:space="0" w:color="000000"/>
            </w:tcBorders>
          </w:tcPr>
          <w:p w14:paraId="143B7E34" w14:textId="77777777" w:rsidR="00D41032" w:rsidRPr="006D2E4D" w:rsidRDefault="00D41032" w:rsidP="001F26FA">
            <w:pPr>
              <w:pStyle w:val="TableParagraph"/>
              <w:spacing w:before="3"/>
              <w:jc w:val="center"/>
              <w:rPr>
                <w:rFonts w:ascii="Arial" w:hAnsi="Arial" w:cs="Arial"/>
                <w:sz w:val="20"/>
                <w:szCs w:val="20"/>
              </w:rPr>
            </w:pPr>
            <w:r w:rsidRPr="006D2E4D">
              <w:rPr>
                <w:rFonts w:ascii="Arial" w:hAnsi="Arial" w:cs="Arial"/>
                <w:sz w:val="20"/>
                <w:szCs w:val="20"/>
              </w:rPr>
              <w:t>90.0% to 94.9%</w:t>
            </w:r>
          </w:p>
        </w:tc>
        <w:tc>
          <w:tcPr>
            <w:tcW w:w="4950" w:type="dxa"/>
            <w:tcBorders>
              <w:top w:val="single" w:sz="5" w:space="0" w:color="000000"/>
              <w:left w:val="single" w:sz="5" w:space="0" w:color="000000"/>
              <w:bottom w:val="single" w:sz="5" w:space="0" w:color="000000"/>
              <w:right w:val="single" w:sz="5" w:space="0" w:color="000000"/>
            </w:tcBorders>
          </w:tcPr>
          <w:p w14:paraId="49655899" w14:textId="77777777" w:rsidR="00D41032" w:rsidRPr="006D2E4D" w:rsidRDefault="00D41032" w:rsidP="001F26FA">
            <w:pPr>
              <w:pStyle w:val="TableParagraph"/>
              <w:spacing w:before="1"/>
              <w:jc w:val="center"/>
              <w:rPr>
                <w:rFonts w:ascii="Arial" w:hAnsi="Arial" w:cs="Arial"/>
                <w:sz w:val="20"/>
                <w:szCs w:val="20"/>
              </w:rPr>
            </w:pPr>
            <w:r w:rsidRPr="006D2E4D">
              <w:rPr>
                <w:rFonts w:ascii="Arial" w:hAnsi="Arial" w:cs="Arial"/>
                <w:sz w:val="20"/>
                <w:szCs w:val="20"/>
              </w:rPr>
              <w:t>25% of monthly fee credited</w:t>
            </w:r>
          </w:p>
        </w:tc>
      </w:tr>
      <w:tr w:rsidR="00D41032" w:rsidRPr="00C54995" w14:paraId="52E61711" w14:textId="77777777" w:rsidTr="001F26FA">
        <w:trPr>
          <w:trHeight w:hRule="exact" w:val="1272"/>
        </w:trPr>
        <w:tc>
          <w:tcPr>
            <w:tcW w:w="2784" w:type="dxa"/>
            <w:tcBorders>
              <w:top w:val="single" w:sz="5" w:space="0" w:color="000000"/>
              <w:left w:val="single" w:sz="5" w:space="0" w:color="000000"/>
              <w:bottom w:val="single" w:sz="5" w:space="0" w:color="000000"/>
              <w:right w:val="single" w:sz="5" w:space="0" w:color="000000"/>
            </w:tcBorders>
          </w:tcPr>
          <w:p w14:paraId="60364F28" w14:textId="77777777" w:rsidR="00D41032" w:rsidRPr="006D2E4D" w:rsidRDefault="00D41032" w:rsidP="001F26FA">
            <w:pPr>
              <w:pStyle w:val="TableParagraph"/>
              <w:spacing w:before="3"/>
              <w:jc w:val="center"/>
              <w:rPr>
                <w:rFonts w:ascii="Arial" w:hAnsi="Arial" w:cs="Arial"/>
                <w:sz w:val="20"/>
                <w:szCs w:val="20"/>
              </w:rPr>
            </w:pPr>
            <w:r w:rsidRPr="006D2E4D">
              <w:rPr>
                <w:rFonts w:ascii="Arial" w:hAnsi="Arial" w:cs="Arial"/>
                <w:sz w:val="20"/>
                <w:szCs w:val="20"/>
              </w:rPr>
              <w:lastRenderedPageBreak/>
              <w:t>89.9% or below</w:t>
            </w:r>
          </w:p>
        </w:tc>
        <w:tc>
          <w:tcPr>
            <w:tcW w:w="4950" w:type="dxa"/>
            <w:tcBorders>
              <w:top w:val="single" w:sz="5" w:space="0" w:color="000000"/>
              <w:left w:val="single" w:sz="5" w:space="0" w:color="000000"/>
              <w:bottom w:val="single" w:sz="5" w:space="0" w:color="000000"/>
              <w:right w:val="single" w:sz="5" w:space="0" w:color="000000"/>
            </w:tcBorders>
          </w:tcPr>
          <w:p w14:paraId="1E87982F" w14:textId="48F5C912" w:rsidR="00D41032" w:rsidRPr="0004072F" w:rsidRDefault="00D41032" w:rsidP="001F26FA">
            <w:pPr>
              <w:pStyle w:val="TableParagraph"/>
              <w:spacing w:before="1"/>
              <w:jc w:val="center"/>
              <w:rPr>
                <w:rFonts w:ascii="Arial" w:hAnsi="Arial" w:cs="Arial"/>
                <w:sz w:val="20"/>
                <w:szCs w:val="20"/>
              </w:rPr>
            </w:pPr>
            <w:r w:rsidRPr="00C54995">
              <w:rPr>
                <w:rFonts w:ascii="Arial" w:hAnsi="Arial" w:cs="Arial"/>
                <w:sz w:val="20"/>
                <w:szCs w:val="20"/>
              </w:rPr>
              <w:t xml:space="preserve">2.5% credited for every 1% of lost availability up to the maximum total penalty limit. Limit may not exceed 50% of the monthly fees charged for use of the affected </w:t>
            </w:r>
            <w:r w:rsidRPr="00C54995">
              <w:rPr>
                <w:rFonts w:ascii="Arial" w:hAnsi="Arial" w:cs="Arial"/>
                <w:bCs/>
                <w:sz w:val="20"/>
                <w:szCs w:val="20"/>
              </w:rPr>
              <w:t>Contact Center</w:t>
            </w:r>
            <w:r w:rsidRPr="00C54995">
              <w:rPr>
                <w:rFonts w:ascii="Arial" w:hAnsi="Arial" w:cs="Arial"/>
                <w:sz w:val="20"/>
                <w:szCs w:val="20"/>
              </w:rPr>
              <w:t xml:space="preserve"> S</w:t>
            </w:r>
            <w:r w:rsidRPr="00334D9D">
              <w:rPr>
                <w:rFonts w:ascii="Arial" w:hAnsi="Arial" w:cs="Arial"/>
                <w:sz w:val="20"/>
                <w:szCs w:val="20"/>
              </w:rPr>
              <w:t>ervice during the month for which the Service Availability Credit is to be issu</w:t>
            </w:r>
            <w:r w:rsidRPr="0004072F">
              <w:rPr>
                <w:rFonts w:ascii="Arial" w:hAnsi="Arial" w:cs="Arial"/>
                <w:sz w:val="20"/>
                <w:szCs w:val="20"/>
              </w:rPr>
              <w:t>ed.</w:t>
            </w:r>
          </w:p>
        </w:tc>
      </w:tr>
    </w:tbl>
    <w:p w14:paraId="600FD8C4" w14:textId="77777777" w:rsidR="00D41032" w:rsidRPr="006D2E4D" w:rsidRDefault="00D41032" w:rsidP="00D41032">
      <w:pPr>
        <w:rPr>
          <w:rFonts w:ascii="Arial" w:eastAsia="Calibri" w:hAnsi="Arial" w:cs="Arial"/>
          <w:sz w:val="20"/>
          <w:szCs w:val="20"/>
        </w:rPr>
      </w:pPr>
    </w:p>
    <w:p w14:paraId="5AFBBF21" w14:textId="77777777" w:rsidR="00D41032" w:rsidRPr="006D2E4D" w:rsidRDefault="00D41032" w:rsidP="00D41032">
      <w:pPr>
        <w:rPr>
          <w:rFonts w:ascii="Arial" w:eastAsia="Calibri" w:hAnsi="Arial" w:cs="Arial"/>
          <w:sz w:val="20"/>
          <w:szCs w:val="20"/>
        </w:rPr>
      </w:pPr>
    </w:p>
    <w:p w14:paraId="06E02C5C" w14:textId="77777777" w:rsidR="00D41032" w:rsidRPr="006D2E4D" w:rsidRDefault="00D41032" w:rsidP="00D41032">
      <w:pPr>
        <w:rPr>
          <w:rFonts w:ascii="Arial" w:eastAsia="Calibri" w:hAnsi="Arial" w:cs="Arial"/>
          <w:sz w:val="20"/>
          <w:szCs w:val="20"/>
        </w:rPr>
      </w:pPr>
    </w:p>
    <w:p w14:paraId="611270F4" w14:textId="77777777" w:rsidR="00D41032" w:rsidRPr="006D2E4D" w:rsidRDefault="00D41032" w:rsidP="00D41032">
      <w:pPr>
        <w:rPr>
          <w:rFonts w:ascii="Arial" w:eastAsia="Calibri" w:hAnsi="Arial" w:cs="Arial"/>
          <w:sz w:val="20"/>
          <w:szCs w:val="20"/>
        </w:rPr>
      </w:pPr>
    </w:p>
    <w:p w14:paraId="1B842EF0" w14:textId="77777777" w:rsidR="00D41032" w:rsidRPr="006D2E4D" w:rsidRDefault="00D41032" w:rsidP="00D41032">
      <w:pPr>
        <w:rPr>
          <w:rFonts w:ascii="Arial" w:eastAsia="Calibri" w:hAnsi="Arial" w:cs="Arial"/>
          <w:sz w:val="20"/>
          <w:szCs w:val="20"/>
        </w:rPr>
      </w:pPr>
    </w:p>
    <w:p w14:paraId="39096F0D" w14:textId="77777777" w:rsidR="00D41032" w:rsidRPr="006D2E4D" w:rsidRDefault="00D41032" w:rsidP="00D41032">
      <w:pPr>
        <w:rPr>
          <w:rFonts w:ascii="Arial" w:eastAsia="Calibri" w:hAnsi="Arial" w:cs="Arial"/>
          <w:sz w:val="20"/>
          <w:szCs w:val="20"/>
        </w:rPr>
      </w:pPr>
    </w:p>
    <w:p w14:paraId="39F6129A" w14:textId="77777777" w:rsidR="00D41032" w:rsidRPr="006D2E4D" w:rsidRDefault="00D41032" w:rsidP="00D41032">
      <w:pPr>
        <w:rPr>
          <w:rFonts w:ascii="Arial" w:eastAsia="Calibri" w:hAnsi="Arial" w:cs="Arial"/>
          <w:sz w:val="20"/>
          <w:szCs w:val="20"/>
        </w:rPr>
      </w:pPr>
    </w:p>
    <w:p w14:paraId="30345F5C" w14:textId="77777777" w:rsidR="00D41032" w:rsidRPr="006D2E4D" w:rsidRDefault="00D41032" w:rsidP="00D41032">
      <w:pPr>
        <w:rPr>
          <w:rFonts w:ascii="Arial" w:eastAsia="Calibri" w:hAnsi="Arial" w:cs="Arial"/>
          <w:sz w:val="20"/>
          <w:szCs w:val="20"/>
        </w:rPr>
      </w:pPr>
    </w:p>
    <w:p w14:paraId="643B15DA" w14:textId="77777777" w:rsidR="00D41032" w:rsidRPr="006D2E4D" w:rsidRDefault="00D41032" w:rsidP="00D41032">
      <w:pPr>
        <w:rPr>
          <w:rFonts w:ascii="Arial" w:eastAsia="Calibri" w:hAnsi="Arial" w:cs="Arial"/>
          <w:sz w:val="20"/>
          <w:szCs w:val="20"/>
        </w:rPr>
      </w:pPr>
    </w:p>
    <w:p w14:paraId="49C22655" w14:textId="77777777" w:rsidR="00D41032" w:rsidRPr="006D2E4D" w:rsidRDefault="00D41032" w:rsidP="00D41032">
      <w:pPr>
        <w:rPr>
          <w:rFonts w:ascii="Arial" w:eastAsia="Calibri" w:hAnsi="Arial" w:cs="Arial"/>
          <w:sz w:val="20"/>
          <w:szCs w:val="20"/>
        </w:rPr>
      </w:pPr>
    </w:p>
    <w:p w14:paraId="3845786D" w14:textId="77777777" w:rsidR="00D41032" w:rsidRDefault="00D41032" w:rsidP="00D41032">
      <w:pPr>
        <w:pStyle w:val="BodyText"/>
        <w:spacing w:before="78" w:line="250" w:lineRule="auto"/>
        <w:ind w:left="715" w:right="265"/>
        <w:rPr>
          <w:rFonts w:cs="Arial"/>
          <w:sz w:val="20"/>
          <w:szCs w:val="20"/>
        </w:rPr>
      </w:pPr>
    </w:p>
    <w:p w14:paraId="5C29B680" w14:textId="77777777" w:rsidR="00D41032" w:rsidRDefault="00D41032" w:rsidP="00D41032">
      <w:pPr>
        <w:pStyle w:val="BodyText"/>
        <w:spacing w:before="78" w:line="250" w:lineRule="auto"/>
        <w:ind w:left="715" w:right="265"/>
        <w:rPr>
          <w:rFonts w:cs="Arial"/>
          <w:sz w:val="20"/>
          <w:szCs w:val="20"/>
        </w:rPr>
      </w:pPr>
    </w:p>
    <w:p w14:paraId="474B4296" w14:textId="77777777" w:rsidR="00D41032" w:rsidRDefault="00D41032" w:rsidP="00D41032">
      <w:pPr>
        <w:pStyle w:val="BodyText"/>
        <w:spacing w:before="78" w:line="250" w:lineRule="auto"/>
        <w:ind w:left="715" w:right="265"/>
        <w:rPr>
          <w:rFonts w:cs="Arial"/>
          <w:sz w:val="20"/>
          <w:szCs w:val="20"/>
        </w:rPr>
      </w:pPr>
    </w:p>
    <w:p w14:paraId="2D465886" w14:textId="77777777" w:rsidR="00D41032" w:rsidRDefault="00D41032" w:rsidP="00D41032">
      <w:pPr>
        <w:pStyle w:val="BodyText"/>
        <w:spacing w:before="78" w:line="250" w:lineRule="auto"/>
        <w:ind w:left="715" w:right="265"/>
        <w:rPr>
          <w:rFonts w:cs="Arial"/>
          <w:sz w:val="20"/>
          <w:szCs w:val="20"/>
        </w:rPr>
      </w:pPr>
    </w:p>
    <w:p w14:paraId="7EBED2F5" w14:textId="77777777" w:rsidR="00D41032" w:rsidRPr="006D2E4D" w:rsidRDefault="00D41032" w:rsidP="00D41032">
      <w:pPr>
        <w:pStyle w:val="BodyText"/>
        <w:spacing w:before="78" w:line="250" w:lineRule="auto"/>
        <w:ind w:left="715" w:right="265"/>
        <w:rPr>
          <w:rFonts w:cs="Arial"/>
          <w:sz w:val="20"/>
          <w:szCs w:val="20"/>
        </w:rPr>
      </w:pPr>
      <w:r w:rsidRPr="006D2E4D">
        <w:rPr>
          <w:rFonts w:cs="Arial"/>
          <w:sz w:val="20"/>
          <w:szCs w:val="20"/>
        </w:rPr>
        <w:t xml:space="preserve">The total Service Availability Credit due to You for any </w:t>
      </w:r>
      <w:r w:rsidRPr="005D5E59">
        <w:rPr>
          <w:rFonts w:cs="Arial"/>
          <w:bCs/>
          <w:sz w:val="20"/>
          <w:szCs w:val="20"/>
        </w:rPr>
        <w:t>Contact Center</w:t>
      </w:r>
      <w:r w:rsidRPr="006D2E4D">
        <w:rPr>
          <w:rFonts w:cs="Arial"/>
          <w:sz w:val="20"/>
          <w:szCs w:val="20"/>
        </w:rPr>
        <w:t xml:space="preserve"> </w:t>
      </w:r>
      <w:r>
        <w:rPr>
          <w:rFonts w:cs="Arial"/>
          <w:sz w:val="20"/>
          <w:szCs w:val="20"/>
        </w:rPr>
        <w:t>S</w:t>
      </w:r>
      <w:r w:rsidRPr="006D2E4D">
        <w:rPr>
          <w:rFonts w:cs="Arial"/>
          <w:sz w:val="20"/>
          <w:szCs w:val="20"/>
        </w:rPr>
        <w:t xml:space="preserve">ervices affected may not exceed fifty percent (50%) of the monthly fees charged for use of the </w:t>
      </w:r>
      <w:r>
        <w:rPr>
          <w:rFonts w:cs="Arial"/>
          <w:sz w:val="20"/>
          <w:szCs w:val="20"/>
        </w:rPr>
        <w:t xml:space="preserve">affected </w:t>
      </w:r>
      <w:r w:rsidRPr="005D5E59">
        <w:rPr>
          <w:rFonts w:cs="Arial"/>
          <w:bCs/>
          <w:sz w:val="20"/>
          <w:szCs w:val="20"/>
        </w:rPr>
        <w:t>Contact Center</w:t>
      </w:r>
      <w:r w:rsidRPr="006D2E4D">
        <w:rPr>
          <w:rFonts w:cs="Arial"/>
          <w:sz w:val="20"/>
          <w:szCs w:val="20"/>
        </w:rPr>
        <w:t xml:space="preserve"> </w:t>
      </w:r>
      <w:r>
        <w:rPr>
          <w:rFonts w:cs="Arial"/>
          <w:sz w:val="20"/>
          <w:szCs w:val="20"/>
        </w:rPr>
        <w:t>S</w:t>
      </w:r>
      <w:r w:rsidRPr="006D2E4D">
        <w:rPr>
          <w:rFonts w:cs="Arial"/>
          <w:sz w:val="20"/>
          <w:szCs w:val="20"/>
        </w:rPr>
        <w:t>ervice during the month for which the Service Availability Credit is to be issued, unless the amount to be credited is less than one dollar ($1.00)</w:t>
      </w:r>
      <w:r>
        <w:rPr>
          <w:rFonts w:cs="Arial"/>
          <w:sz w:val="20"/>
          <w:szCs w:val="20"/>
        </w:rPr>
        <w:t>,</w:t>
      </w:r>
      <w:r w:rsidRPr="006D2E4D">
        <w:rPr>
          <w:rFonts w:cs="Arial"/>
          <w:sz w:val="20"/>
          <w:szCs w:val="20"/>
        </w:rPr>
        <w:t xml:space="preserve"> in which case the credit amount will be one dollar ($1.00). Only one </w:t>
      </w:r>
      <w:r>
        <w:rPr>
          <w:rFonts w:cs="Arial"/>
          <w:sz w:val="20"/>
          <w:szCs w:val="20"/>
        </w:rPr>
        <w:t xml:space="preserve">(1) </w:t>
      </w:r>
      <w:r w:rsidRPr="006D2E4D">
        <w:rPr>
          <w:rFonts w:cs="Arial"/>
          <w:sz w:val="20"/>
          <w:szCs w:val="20"/>
        </w:rPr>
        <w:t xml:space="preserve">Service Availability Credit is available in any given calendar month. Credits are applicable only toward use of the </w:t>
      </w:r>
      <w:r>
        <w:rPr>
          <w:rFonts w:cs="Arial"/>
          <w:sz w:val="20"/>
          <w:szCs w:val="20"/>
        </w:rPr>
        <w:t xml:space="preserve">affected </w:t>
      </w:r>
      <w:r w:rsidRPr="005D5E59">
        <w:rPr>
          <w:rFonts w:cs="Arial"/>
          <w:bCs/>
          <w:sz w:val="20"/>
          <w:szCs w:val="20"/>
        </w:rPr>
        <w:t>Contact Center</w:t>
      </w:r>
      <w:r w:rsidRPr="006D2E4D">
        <w:rPr>
          <w:rFonts w:cs="Arial"/>
          <w:sz w:val="20"/>
          <w:szCs w:val="20"/>
        </w:rPr>
        <w:t xml:space="preserve"> Service and are not convertible into cash or any type of refund.</w:t>
      </w:r>
    </w:p>
    <w:p w14:paraId="79B00FBD" w14:textId="77777777" w:rsidR="00D41032" w:rsidRPr="006D2E4D" w:rsidRDefault="00D41032" w:rsidP="00D41032">
      <w:pPr>
        <w:spacing w:before="17" w:line="240" w:lineRule="exact"/>
        <w:rPr>
          <w:rFonts w:ascii="Arial" w:hAnsi="Arial" w:cs="Arial"/>
          <w:sz w:val="20"/>
          <w:szCs w:val="20"/>
        </w:rPr>
      </w:pPr>
    </w:p>
    <w:p w14:paraId="7258C6E9" w14:textId="27F73BCA" w:rsidR="00D41032" w:rsidRPr="006D2E4D" w:rsidRDefault="00D41032" w:rsidP="00D41032">
      <w:pPr>
        <w:pStyle w:val="BodyText"/>
        <w:spacing w:line="251" w:lineRule="auto"/>
        <w:ind w:left="715" w:right="328"/>
        <w:rPr>
          <w:rFonts w:cs="Arial"/>
          <w:sz w:val="20"/>
          <w:szCs w:val="20"/>
        </w:rPr>
      </w:pPr>
      <w:r w:rsidRPr="00A85C1E">
        <w:rPr>
          <w:rFonts w:cs="Arial"/>
          <w:sz w:val="20"/>
          <w:szCs w:val="20"/>
        </w:rPr>
        <w:t xml:space="preserve">Notwithstanding anything set forth in the MSA or this SLA, the Service Availability Credit described in this Section 4 of this SLA will be Your sole and exclusive remedy in connection with any loss of Service Availability as described in such section or breach by </w:t>
      </w:r>
      <w:r w:rsidR="00BA2DEB">
        <w:rPr>
          <w:rFonts w:cs="Arial"/>
          <w:bCs/>
          <w:sz w:val="20"/>
          <w:szCs w:val="20"/>
        </w:rPr>
        <w:t>Company</w:t>
      </w:r>
      <w:r w:rsidRPr="00A85C1E">
        <w:rPr>
          <w:rFonts w:cs="Arial"/>
          <w:sz w:val="20"/>
          <w:szCs w:val="20"/>
        </w:rPr>
        <w:t xml:space="preserve"> of this SLA. </w:t>
      </w:r>
    </w:p>
    <w:p w14:paraId="52D3BF38" w14:textId="77777777" w:rsidR="00D41032" w:rsidRPr="006D2E4D" w:rsidRDefault="00D41032" w:rsidP="00D41032">
      <w:pPr>
        <w:spacing w:before="9" w:line="280" w:lineRule="exact"/>
        <w:ind w:left="720"/>
        <w:rPr>
          <w:rFonts w:ascii="Arial" w:hAnsi="Arial" w:cs="Arial"/>
          <w:sz w:val="20"/>
          <w:szCs w:val="20"/>
        </w:rPr>
      </w:pPr>
    </w:p>
    <w:p w14:paraId="205BBACF" w14:textId="77777777" w:rsidR="00D41032" w:rsidRPr="006D2E4D" w:rsidRDefault="00D41032" w:rsidP="00D41032">
      <w:pPr>
        <w:pStyle w:val="Heading1"/>
        <w:tabs>
          <w:tab w:val="left" w:pos="345"/>
        </w:tabs>
        <w:ind w:left="0"/>
        <w:rPr>
          <w:rFonts w:cs="Arial"/>
          <w:smallCaps/>
          <w:sz w:val="20"/>
          <w:szCs w:val="20"/>
        </w:rPr>
      </w:pPr>
      <w:r w:rsidRPr="006D2E4D">
        <w:rPr>
          <w:rFonts w:cs="Arial"/>
          <w:sz w:val="20"/>
          <w:szCs w:val="20"/>
        </w:rPr>
        <w:t>5.</w:t>
      </w:r>
      <w:r w:rsidRPr="006D2E4D">
        <w:rPr>
          <w:rFonts w:cs="Arial"/>
          <w:sz w:val="20"/>
          <w:szCs w:val="20"/>
        </w:rPr>
        <w:tab/>
      </w:r>
      <w:r w:rsidRPr="006D2E4D">
        <w:rPr>
          <w:rFonts w:cs="Arial"/>
          <w:sz w:val="20"/>
          <w:szCs w:val="20"/>
        </w:rPr>
        <w:tab/>
      </w:r>
      <w:r w:rsidRPr="006D2E4D">
        <w:rPr>
          <w:rFonts w:cs="Arial"/>
          <w:smallCaps/>
          <w:sz w:val="20"/>
          <w:szCs w:val="20"/>
        </w:rPr>
        <w:t xml:space="preserve">Maintenance </w:t>
      </w:r>
    </w:p>
    <w:p w14:paraId="7A1A6D83" w14:textId="77777777" w:rsidR="00D41032" w:rsidRPr="006D2E4D" w:rsidRDefault="00D41032" w:rsidP="00D41032">
      <w:pPr>
        <w:pStyle w:val="Heading1"/>
        <w:tabs>
          <w:tab w:val="left" w:pos="345"/>
        </w:tabs>
        <w:ind w:left="0"/>
        <w:rPr>
          <w:rFonts w:cs="Arial"/>
          <w:b w:val="0"/>
          <w:bCs w:val="0"/>
          <w:smallCaps/>
          <w:sz w:val="20"/>
          <w:szCs w:val="20"/>
        </w:rPr>
      </w:pPr>
    </w:p>
    <w:p w14:paraId="62E84462" w14:textId="490F4008" w:rsidR="00D41032" w:rsidRPr="006D2E4D" w:rsidRDefault="00D41032" w:rsidP="00D41032">
      <w:pPr>
        <w:pStyle w:val="BodyText"/>
        <w:spacing w:before="2" w:line="250" w:lineRule="auto"/>
        <w:ind w:left="720" w:right="265"/>
        <w:rPr>
          <w:rFonts w:cs="Arial"/>
          <w:sz w:val="20"/>
          <w:szCs w:val="20"/>
        </w:rPr>
      </w:pPr>
      <w:r w:rsidRPr="006D2E4D">
        <w:rPr>
          <w:rFonts w:cs="Arial"/>
          <w:sz w:val="20"/>
          <w:szCs w:val="20"/>
        </w:rPr>
        <w:t>5.1.</w:t>
      </w:r>
      <w:r w:rsidRPr="006D2E4D">
        <w:rPr>
          <w:rFonts w:cs="Arial"/>
          <w:sz w:val="20"/>
          <w:szCs w:val="20"/>
        </w:rPr>
        <w:tab/>
      </w:r>
      <w:r w:rsidRPr="006D2E4D">
        <w:rPr>
          <w:rFonts w:cs="Arial"/>
          <w:sz w:val="20"/>
          <w:szCs w:val="20"/>
          <w:u w:val="single"/>
        </w:rPr>
        <w:t>Scheduled Maintenance</w:t>
      </w:r>
      <w:r w:rsidRPr="006D2E4D">
        <w:rPr>
          <w:rFonts w:cs="Arial"/>
          <w:sz w:val="20"/>
          <w:szCs w:val="20"/>
        </w:rPr>
        <w:t xml:space="preserve">. </w:t>
      </w:r>
      <w:proofErr w:type="gramStart"/>
      <w:r w:rsidRPr="006D2E4D">
        <w:rPr>
          <w:rFonts w:cs="Arial"/>
          <w:sz w:val="20"/>
          <w:szCs w:val="20"/>
        </w:rPr>
        <w:t>In order to</w:t>
      </w:r>
      <w:proofErr w:type="gramEnd"/>
      <w:r w:rsidRPr="006D2E4D">
        <w:rPr>
          <w:rFonts w:cs="Arial"/>
          <w:sz w:val="20"/>
          <w:szCs w:val="20"/>
        </w:rPr>
        <w:t xml:space="preserve"> maintain performance and security of the Services, </w:t>
      </w:r>
      <w:r w:rsidR="00BA2DEB">
        <w:rPr>
          <w:rFonts w:cs="Arial"/>
          <w:bCs/>
          <w:sz w:val="20"/>
          <w:szCs w:val="20"/>
        </w:rPr>
        <w:t>Company</w:t>
      </w:r>
      <w:r w:rsidRPr="006D2E4D">
        <w:rPr>
          <w:rFonts w:cs="Arial"/>
          <w:sz w:val="20"/>
          <w:szCs w:val="20"/>
        </w:rPr>
        <w:t xml:space="preserve"> performs Scheduled Maintenance within its published maintenance windows. This may require specific </w:t>
      </w:r>
      <w:r w:rsidRPr="005D5E59">
        <w:rPr>
          <w:rFonts w:cs="Arial"/>
          <w:bCs/>
          <w:sz w:val="20"/>
          <w:szCs w:val="20"/>
        </w:rPr>
        <w:t>Contact Center</w:t>
      </w:r>
      <w:r w:rsidRPr="006D2E4D">
        <w:rPr>
          <w:rFonts w:cs="Arial"/>
          <w:sz w:val="20"/>
          <w:szCs w:val="20"/>
        </w:rPr>
        <w:t xml:space="preserve"> Services to be suspended during the maintenance period.  Loss of Service Availability due to Scheduled Maintenance will not be included in the calculation of Service Availability. </w:t>
      </w:r>
      <w:r w:rsidR="00BA2DEB">
        <w:rPr>
          <w:rFonts w:cs="Arial"/>
          <w:bCs/>
          <w:sz w:val="20"/>
          <w:szCs w:val="20"/>
        </w:rPr>
        <w:t>Company</w:t>
      </w:r>
      <w:r w:rsidRPr="006D2E4D">
        <w:rPr>
          <w:rFonts w:cs="Arial"/>
          <w:sz w:val="20"/>
          <w:szCs w:val="20"/>
        </w:rPr>
        <w:t xml:space="preserve"> will use commercially reasonable efforts to notify You in advance of any Scheduled Maintenance that may adversely affect Your use of the </w:t>
      </w:r>
      <w:r w:rsidRPr="005D5E59">
        <w:rPr>
          <w:rFonts w:cs="Arial"/>
          <w:bCs/>
          <w:sz w:val="20"/>
          <w:szCs w:val="20"/>
        </w:rPr>
        <w:t>Contact Center</w:t>
      </w:r>
      <w:r w:rsidRPr="006D2E4D">
        <w:rPr>
          <w:rFonts w:cs="Arial"/>
          <w:sz w:val="20"/>
          <w:szCs w:val="20"/>
        </w:rPr>
        <w:t xml:space="preserve"> Services.</w:t>
      </w:r>
    </w:p>
    <w:p w14:paraId="03943EF1" w14:textId="77777777" w:rsidR="00D41032" w:rsidRPr="006D2E4D" w:rsidRDefault="00D41032" w:rsidP="00D41032">
      <w:pPr>
        <w:pStyle w:val="BodyText"/>
        <w:tabs>
          <w:tab w:val="left" w:pos="529"/>
        </w:tabs>
        <w:spacing w:line="250" w:lineRule="auto"/>
        <w:ind w:left="720" w:right="376" w:hanging="720"/>
        <w:rPr>
          <w:rFonts w:cs="Arial"/>
          <w:sz w:val="20"/>
          <w:szCs w:val="20"/>
        </w:rPr>
      </w:pPr>
      <w:r w:rsidRPr="006D2E4D">
        <w:rPr>
          <w:rFonts w:cs="Arial"/>
          <w:sz w:val="20"/>
          <w:szCs w:val="20"/>
        </w:rPr>
        <w:tab/>
      </w:r>
      <w:r w:rsidRPr="006D2E4D">
        <w:rPr>
          <w:rFonts w:cs="Arial"/>
          <w:sz w:val="20"/>
          <w:szCs w:val="20"/>
        </w:rPr>
        <w:tab/>
      </w:r>
    </w:p>
    <w:p w14:paraId="693F6722" w14:textId="63BDF323" w:rsidR="00D41032" w:rsidRPr="006D2E4D" w:rsidRDefault="00D41032" w:rsidP="00D41032">
      <w:pPr>
        <w:pStyle w:val="BodyText"/>
        <w:tabs>
          <w:tab w:val="left" w:pos="529"/>
        </w:tabs>
        <w:spacing w:line="250" w:lineRule="auto"/>
        <w:ind w:left="720" w:right="376" w:hanging="720"/>
        <w:rPr>
          <w:rFonts w:cs="Arial"/>
          <w:sz w:val="20"/>
          <w:szCs w:val="20"/>
        </w:rPr>
      </w:pPr>
      <w:r w:rsidRPr="006D2E4D">
        <w:rPr>
          <w:rFonts w:cs="Arial"/>
          <w:sz w:val="20"/>
          <w:szCs w:val="20"/>
        </w:rPr>
        <w:tab/>
      </w:r>
      <w:r w:rsidRPr="006D2E4D">
        <w:rPr>
          <w:rFonts w:cs="Arial"/>
          <w:sz w:val="20"/>
          <w:szCs w:val="20"/>
        </w:rPr>
        <w:tab/>
        <w:t>5.2.</w:t>
      </w:r>
      <w:r w:rsidRPr="006D2E4D">
        <w:rPr>
          <w:rFonts w:cs="Arial"/>
          <w:sz w:val="20"/>
          <w:szCs w:val="20"/>
        </w:rPr>
        <w:tab/>
      </w:r>
      <w:r w:rsidRPr="006D2E4D">
        <w:rPr>
          <w:rFonts w:cs="Arial"/>
          <w:bCs/>
          <w:sz w:val="20"/>
          <w:szCs w:val="20"/>
          <w:u w:val="single"/>
        </w:rPr>
        <w:t>Emergency Maintenance</w:t>
      </w:r>
      <w:r w:rsidRPr="006D2E4D">
        <w:rPr>
          <w:rFonts w:cs="Arial"/>
          <w:bCs/>
          <w:sz w:val="20"/>
          <w:szCs w:val="20"/>
        </w:rPr>
        <w:t xml:space="preserve">. </w:t>
      </w:r>
      <w:r w:rsidR="00BA2DEB">
        <w:rPr>
          <w:rFonts w:cs="Arial"/>
          <w:bCs/>
          <w:sz w:val="20"/>
          <w:szCs w:val="20"/>
        </w:rPr>
        <w:t>Company</w:t>
      </w:r>
      <w:r w:rsidRPr="006D2E4D">
        <w:rPr>
          <w:rFonts w:cs="Arial"/>
          <w:bCs/>
          <w:sz w:val="20"/>
          <w:szCs w:val="20"/>
        </w:rPr>
        <w:t xml:space="preserve"> may need to perform emergency maintenance</w:t>
      </w:r>
      <w:r>
        <w:rPr>
          <w:rFonts w:cs="Arial"/>
          <w:bCs/>
          <w:sz w:val="20"/>
          <w:szCs w:val="20"/>
        </w:rPr>
        <w:t xml:space="preserve"> from time to time</w:t>
      </w:r>
      <w:r w:rsidRPr="006D2E4D">
        <w:rPr>
          <w:rFonts w:cs="Arial"/>
          <w:bCs/>
          <w:sz w:val="20"/>
          <w:szCs w:val="20"/>
        </w:rPr>
        <w:t xml:space="preserve">, including security patch installation or hardware replacement. </w:t>
      </w:r>
      <w:r w:rsidR="00FC60A8">
        <w:rPr>
          <w:rFonts w:cs="Arial"/>
          <w:bCs/>
          <w:sz w:val="20"/>
          <w:szCs w:val="20"/>
        </w:rPr>
        <w:t>Company</w:t>
      </w:r>
      <w:r w:rsidRPr="006D2E4D">
        <w:rPr>
          <w:rFonts w:cs="Arial"/>
          <w:bCs/>
          <w:sz w:val="20"/>
          <w:szCs w:val="20"/>
        </w:rPr>
        <w:t xml:space="preserve"> will not be able to provide </w:t>
      </w:r>
      <w:r w:rsidRPr="006D2E4D">
        <w:rPr>
          <w:rFonts w:cs="Arial"/>
          <w:sz w:val="20"/>
          <w:szCs w:val="20"/>
        </w:rPr>
        <w:t>You</w:t>
      </w:r>
      <w:r w:rsidRPr="006D2E4D">
        <w:rPr>
          <w:rFonts w:cs="Arial"/>
          <w:bCs/>
          <w:sz w:val="20"/>
          <w:szCs w:val="20"/>
        </w:rPr>
        <w:t xml:space="preserve"> with advanced notice in case of emergency maintenance. Loss of Service Availability due to emergency maintenance will be excluded from calculations for Service Availability</w:t>
      </w:r>
      <w:r w:rsidRPr="006D2E4D">
        <w:rPr>
          <w:rFonts w:cs="Arial"/>
          <w:b/>
          <w:bCs/>
          <w:sz w:val="20"/>
          <w:szCs w:val="20"/>
        </w:rPr>
        <w:t>.</w:t>
      </w:r>
    </w:p>
    <w:p w14:paraId="14FD5B03" w14:textId="77777777" w:rsidR="00AA155B" w:rsidRDefault="00F9273C"/>
    <w:sectPr w:rsidR="00AA15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E145" w14:textId="77777777" w:rsidR="00F9273C" w:rsidRDefault="00F9273C" w:rsidP="003F6C4A">
      <w:r>
        <w:separator/>
      </w:r>
    </w:p>
  </w:endnote>
  <w:endnote w:type="continuationSeparator" w:id="0">
    <w:p w14:paraId="10518161" w14:textId="77777777" w:rsidR="00F9273C" w:rsidRDefault="00F9273C" w:rsidP="003F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F975" w14:textId="591A3019" w:rsidR="00F47400" w:rsidRDefault="00DC41BD">
    <w:pPr>
      <w:pStyle w:val="Footer"/>
    </w:pPr>
    <w:r>
      <w:t>Customer Ownership Partner, Sample, Engage SLA</w:t>
    </w:r>
    <w:r w:rsidR="00F47400">
      <w:t xml:space="preserve"> (220</w:t>
    </w:r>
    <w:r w:rsidR="001F238C">
      <w:t>4</w:t>
    </w:r>
    <w:r>
      <w:t>20</w:t>
    </w:r>
    <w:r w:rsidR="001F238C">
      <w:t>US</w:t>
    </w:r>
    <w:r w:rsidR="00F4740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000C" w14:textId="77777777" w:rsidR="00F9273C" w:rsidRDefault="00F9273C" w:rsidP="003F6C4A">
      <w:r>
        <w:separator/>
      </w:r>
    </w:p>
  </w:footnote>
  <w:footnote w:type="continuationSeparator" w:id="0">
    <w:p w14:paraId="706EBAE3" w14:textId="77777777" w:rsidR="00F9273C" w:rsidRDefault="00F9273C" w:rsidP="003F6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32"/>
    <w:rsid w:val="00036A50"/>
    <w:rsid w:val="00044515"/>
    <w:rsid w:val="00080079"/>
    <w:rsid w:val="00080112"/>
    <w:rsid w:val="00085395"/>
    <w:rsid w:val="00093D31"/>
    <w:rsid w:val="000B1801"/>
    <w:rsid w:val="00100ACA"/>
    <w:rsid w:val="0019495E"/>
    <w:rsid w:val="001B622D"/>
    <w:rsid w:val="001C065F"/>
    <w:rsid w:val="001F238C"/>
    <w:rsid w:val="002133F8"/>
    <w:rsid w:val="002244C5"/>
    <w:rsid w:val="002B65F7"/>
    <w:rsid w:val="0031087F"/>
    <w:rsid w:val="00335101"/>
    <w:rsid w:val="00342EF3"/>
    <w:rsid w:val="003813E9"/>
    <w:rsid w:val="003B4D1D"/>
    <w:rsid w:val="003E0E77"/>
    <w:rsid w:val="003F078E"/>
    <w:rsid w:val="003F6C4A"/>
    <w:rsid w:val="00462CF2"/>
    <w:rsid w:val="005576A3"/>
    <w:rsid w:val="005C7D80"/>
    <w:rsid w:val="005E1289"/>
    <w:rsid w:val="005F164E"/>
    <w:rsid w:val="00694F83"/>
    <w:rsid w:val="006A1C12"/>
    <w:rsid w:val="006B0264"/>
    <w:rsid w:val="006C7F8D"/>
    <w:rsid w:val="006D7297"/>
    <w:rsid w:val="006E2AC3"/>
    <w:rsid w:val="007B1FDA"/>
    <w:rsid w:val="007E63C6"/>
    <w:rsid w:val="00814570"/>
    <w:rsid w:val="0085009C"/>
    <w:rsid w:val="008852D4"/>
    <w:rsid w:val="00885E34"/>
    <w:rsid w:val="008C24FF"/>
    <w:rsid w:val="008C639F"/>
    <w:rsid w:val="008C6DC0"/>
    <w:rsid w:val="008F355B"/>
    <w:rsid w:val="00946C19"/>
    <w:rsid w:val="00982B13"/>
    <w:rsid w:val="009A5C3E"/>
    <w:rsid w:val="009B6EC5"/>
    <w:rsid w:val="009F0040"/>
    <w:rsid w:val="00A67EC7"/>
    <w:rsid w:val="00A72826"/>
    <w:rsid w:val="00A9028A"/>
    <w:rsid w:val="00AB250A"/>
    <w:rsid w:val="00AF5F5E"/>
    <w:rsid w:val="00B51D4C"/>
    <w:rsid w:val="00B96329"/>
    <w:rsid w:val="00BA2CE5"/>
    <w:rsid w:val="00BA2DEB"/>
    <w:rsid w:val="00BB5C60"/>
    <w:rsid w:val="00BD0320"/>
    <w:rsid w:val="00C1454B"/>
    <w:rsid w:val="00CA6C25"/>
    <w:rsid w:val="00CF2812"/>
    <w:rsid w:val="00D169BD"/>
    <w:rsid w:val="00D24B1A"/>
    <w:rsid w:val="00D262DC"/>
    <w:rsid w:val="00D41032"/>
    <w:rsid w:val="00D46B6C"/>
    <w:rsid w:val="00DC41BD"/>
    <w:rsid w:val="00E858CA"/>
    <w:rsid w:val="00E912B8"/>
    <w:rsid w:val="00F0665F"/>
    <w:rsid w:val="00F27DF4"/>
    <w:rsid w:val="00F47400"/>
    <w:rsid w:val="00F503B6"/>
    <w:rsid w:val="00F5479E"/>
    <w:rsid w:val="00F676D8"/>
    <w:rsid w:val="00F9273C"/>
    <w:rsid w:val="00FC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B790"/>
  <w15:chartTrackingRefBased/>
  <w15:docId w15:val="{E21E8771-019F-40D7-8684-93DD1A7B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1032"/>
    <w:pPr>
      <w:widowControl w:val="0"/>
      <w:spacing w:after="0" w:line="240" w:lineRule="auto"/>
    </w:pPr>
  </w:style>
  <w:style w:type="paragraph" w:styleId="Heading1">
    <w:name w:val="heading 1"/>
    <w:basedOn w:val="Normal"/>
    <w:link w:val="Heading1Char"/>
    <w:uiPriority w:val="1"/>
    <w:qFormat/>
    <w:rsid w:val="00D41032"/>
    <w:pPr>
      <w:ind w:left="10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1032"/>
    <w:rPr>
      <w:rFonts w:ascii="Arial" w:eastAsia="Arial" w:hAnsi="Arial"/>
      <w:b/>
      <w:bCs/>
      <w:sz w:val="21"/>
      <w:szCs w:val="21"/>
    </w:rPr>
  </w:style>
  <w:style w:type="paragraph" w:styleId="BodyText">
    <w:name w:val="Body Text"/>
    <w:basedOn w:val="Normal"/>
    <w:link w:val="BodyTextChar"/>
    <w:uiPriority w:val="1"/>
    <w:qFormat/>
    <w:rsid w:val="00D41032"/>
    <w:pPr>
      <w:ind w:left="100"/>
    </w:pPr>
    <w:rPr>
      <w:rFonts w:ascii="Arial" w:eastAsia="Arial" w:hAnsi="Arial"/>
      <w:sz w:val="21"/>
      <w:szCs w:val="21"/>
    </w:rPr>
  </w:style>
  <w:style w:type="character" w:customStyle="1" w:styleId="BodyTextChar">
    <w:name w:val="Body Text Char"/>
    <w:basedOn w:val="DefaultParagraphFont"/>
    <w:link w:val="BodyText"/>
    <w:uiPriority w:val="1"/>
    <w:rsid w:val="00D41032"/>
    <w:rPr>
      <w:rFonts w:ascii="Arial" w:eastAsia="Arial" w:hAnsi="Arial"/>
      <w:sz w:val="21"/>
      <w:szCs w:val="21"/>
    </w:rPr>
  </w:style>
  <w:style w:type="paragraph" w:customStyle="1" w:styleId="TableParagraph">
    <w:name w:val="Table Paragraph"/>
    <w:basedOn w:val="Normal"/>
    <w:uiPriority w:val="1"/>
    <w:qFormat/>
    <w:rsid w:val="00D41032"/>
  </w:style>
  <w:style w:type="paragraph" w:styleId="Revision">
    <w:name w:val="Revision"/>
    <w:hidden/>
    <w:uiPriority w:val="99"/>
    <w:semiHidden/>
    <w:rsid w:val="00D41032"/>
    <w:pPr>
      <w:spacing w:after="0" w:line="240" w:lineRule="auto"/>
    </w:pPr>
  </w:style>
  <w:style w:type="paragraph" w:styleId="Header">
    <w:name w:val="header"/>
    <w:basedOn w:val="Normal"/>
    <w:link w:val="HeaderChar"/>
    <w:uiPriority w:val="99"/>
    <w:unhideWhenUsed/>
    <w:rsid w:val="003F6C4A"/>
    <w:pPr>
      <w:tabs>
        <w:tab w:val="center" w:pos="4680"/>
        <w:tab w:val="right" w:pos="9360"/>
      </w:tabs>
    </w:pPr>
  </w:style>
  <w:style w:type="character" w:customStyle="1" w:styleId="HeaderChar">
    <w:name w:val="Header Char"/>
    <w:basedOn w:val="DefaultParagraphFont"/>
    <w:link w:val="Header"/>
    <w:uiPriority w:val="99"/>
    <w:rsid w:val="003F6C4A"/>
  </w:style>
  <w:style w:type="paragraph" w:styleId="Footer">
    <w:name w:val="footer"/>
    <w:basedOn w:val="Normal"/>
    <w:link w:val="FooterChar"/>
    <w:uiPriority w:val="99"/>
    <w:unhideWhenUsed/>
    <w:rsid w:val="003F6C4A"/>
    <w:pPr>
      <w:tabs>
        <w:tab w:val="center" w:pos="4680"/>
        <w:tab w:val="right" w:pos="9360"/>
      </w:tabs>
    </w:pPr>
  </w:style>
  <w:style w:type="character" w:customStyle="1" w:styleId="FooterChar">
    <w:name w:val="Footer Char"/>
    <w:basedOn w:val="DefaultParagraphFont"/>
    <w:link w:val="Footer"/>
    <w:uiPriority w:val="99"/>
    <w:rsid w:val="003F6C4A"/>
  </w:style>
  <w:style w:type="character" w:styleId="CommentReference">
    <w:name w:val="annotation reference"/>
    <w:basedOn w:val="DefaultParagraphFont"/>
    <w:uiPriority w:val="99"/>
    <w:semiHidden/>
    <w:unhideWhenUsed/>
    <w:rsid w:val="00F5479E"/>
    <w:rPr>
      <w:sz w:val="16"/>
      <w:szCs w:val="16"/>
    </w:rPr>
  </w:style>
  <w:style w:type="paragraph" w:styleId="CommentText">
    <w:name w:val="annotation text"/>
    <w:basedOn w:val="Normal"/>
    <w:link w:val="CommentTextChar"/>
    <w:uiPriority w:val="99"/>
    <w:semiHidden/>
    <w:unhideWhenUsed/>
    <w:rsid w:val="00F5479E"/>
    <w:rPr>
      <w:sz w:val="20"/>
      <w:szCs w:val="20"/>
    </w:rPr>
  </w:style>
  <w:style w:type="character" w:customStyle="1" w:styleId="CommentTextChar">
    <w:name w:val="Comment Text Char"/>
    <w:basedOn w:val="DefaultParagraphFont"/>
    <w:link w:val="CommentText"/>
    <w:uiPriority w:val="99"/>
    <w:semiHidden/>
    <w:rsid w:val="00F5479E"/>
    <w:rPr>
      <w:sz w:val="20"/>
      <w:szCs w:val="20"/>
    </w:rPr>
  </w:style>
  <w:style w:type="paragraph" w:styleId="CommentSubject">
    <w:name w:val="annotation subject"/>
    <w:basedOn w:val="CommentText"/>
    <w:next w:val="CommentText"/>
    <w:link w:val="CommentSubjectChar"/>
    <w:uiPriority w:val="99"/>
    <w:semiHidden/>
    <w:unhideWhenUsed/>
    <w:rsid w:val="00F5479E"/>
    <w:rPr>
      <w:b/>
      <w:bCs/>
    </w:rPr>
  </w:style>
  <w:style w:type="character" w:customStyle="1" w:styleId="CommentSubjectChar">
    <w:name w:val="Comment Subject Char"/>
    <w:basedOn w:val="CommentTextChar"/>
    <w:link w:val="CommentSubject"/>
    <w:uiPriority w:val="99"/>
    <w:semiHidden/>
    <w:rsid w:val="00F5479E"/>
    <w:rPr>
      <w:b/>
      <w:bCs/>
      <w:sz w:val="20"/>
      <w:szCs w:val="20"/>
    </w:rPr>
  </w:style>
  <w:style w:type="character" w:styleId="Hyperlink">
    <w:name w:val="Hyperlink"/>
    <w:basedOn w:val="DefaultParagraphFont"/>
    <w:uiPriority w:val="99"/>
    <w:unhideWhenUsed/>
    <w:rsid w:val="00085395"/>
    <w:rPr>
      <w:color w:val="0563C1" w:themeColor="hyperlink"/>
      <w:u w:val="single"/>
    </w:rPr>
  </w:style>
  <w:style w:type="character" w:styleId="UnresolvedMention">
    <w:name w:val="Unresolved Mention"/>
    <w:basedOn w:val="DefaultParagraphFont"/>
    <w:uiPriority w:val="99"/>
    <w:semiHidden/>
    <w:unhideWhenUsed/>
    <w:rsid w:val="00085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1298</Words>
  <Characters>7401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Mark</dc:creator>
  <cp:keywords/>
  <dc:description/>
  <cp:lastModifiedBy>Butler, Mark</cp:lastModifiedBy>
  <cp:revision>26</cp:revision>
  <dcterms:created xsi:type="dcterms:W3CDTF">2022-04-20T19:57:00Z</dcterms:created>
  <dcterms:modified xsi:type="dcterms:W3CDTF">2022-04-20T20:26:00Z</dcterms:modified>
</cp:coreProperties>
</file>